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58D89446"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A45D30">
        <w:rPr>
          <w:rFonts w:ascii="Arial" w:hAnsi="Arial" w:cs="Arial"/>
          <w:sz w:val="24"/>
          <w:szCs w:val="28"/>
          <w:lang w:val="en-CA"/>
        </w:rPr>
        <w:t>5</w:t>
      </w:r>
      <w:r w:rsidR="001B743D">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0A5259">
        <w:rPr>
          <w:rFonts w:ascii="Arial" w:hAnsi="Arial" w:cs="Arial"/>
          <w:sz w:val="24"/>
          <w:szCs w:val="28"/>
          <w:lang w:val="en-CA"/>
        </w:rPr>
        <w:t>7790</w:t>
      </w:r>
      <w:bookmarkStart w:id="0" w:name="_GoBack"/>
      <w:bookmarkEnd w:id="0"/>
    </w:p>
    <w:p w14:paraId="4F58942D" w14:textId="03655C1A"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A45D30">
        <w:rPr>
          <w:rFonts w:ascii="Arial" w:hAnsi="Arial" w:cs="Arial"/>
          <w:sz w:val="24"/>
          <w:szCs w:val="28"/>
          <w:lang w:val="en-CA"/>
        </w:rPr>
        <w:t>May</w:t>
      </w:r>
      <w:r w:rsidRPr="00AA35A3">
        <w:rPr>
          <w:rFonts w:ascii="Arial" w:hAnsi="Arial" w:cs="Arial"/>
          <w:sz w:val="24"/>
          <w:szCs w:val="28"/>
          <w:lang w:val="en-CA"/>
        </w:rPr>
        <w:t xml:space="preserve"> </w:t>
      </w:r>
      <w:r w:rsidR="008D013B">
        <w:rPr>
          <w:rFonts w:ascii="Arial" w:hAnsi="Arial" w:cs="Arial"/>
          <w:sz w:val="24"/>
          <w:szCs w:val="28"/>
          <w:lang w:val="en-CA"/>
        </w:rPr>
        <w:t>2</w:t>
      </w:r>
      <w:r w:rsidR="00A45D30">
        <w:rPr>
          <w:rFonts w:ascii="Arial" w:hAnsi="Arial" w:cs="Arial"/>
          <w:sz w:val="24"/>
          <w:szCs w:val="28"/>
          <w:lang w:val="en-CA"/>
        </w:rPr>
        <w:t>5</w:t>
      </w:r>
      <w:r>
        <w:rPr>
          <w:rFonts w:ascii="Arial" w:hAnsi="Arial" w:cs="Arial"/>
          <w:sz w:val="24"/>
          <w:szCs w:val="28"/>
          <w:lang w:val="en-CA"/>
        </w:rPr>
        <w:t xml:space="preserve"> – </w:t>
      </w:r>
      <w:r w:rsidR="00A45D30">
        <w:rPr>
          <w:rFonts w:ascii="Arial" w:hAnsi="Arial" w:cs="Arial"/>
          <w:sz w:val="24"/>
          <w:szCs w:val="28"/>
          <w:lang w:val="en-CA"/>
        </w:rPr>
        <w:t>June 5</w:t>
      </w:r>
      <w:r w:rsidR="00347CC4">
        <w:rPr>
          <w:rFonts w:ascii="Arial" w:hAnsi="Arial" w:cs="Arial"/>
          <w:sz w:val="24"/>
          <w:szCs w:val="28"/>
          <w:lang w:val="en-CA"/>
        </w:rPr>
        <w:t>, 20</w:t>
      </w:r>
      <w:r>
        <w:rPr>
          <w:rFonts w:ascii="Arial" w:hAnsi="Arial" w:cs="Arial"/>
          <w:sz w:val="24"/>
          <w:szCs w:val="28"/>
          <w:lang w:val="en-CA"/>
        </w:rPr>
        <w:t>20</w:t>
      </w:r>
    </w:p>
    <w:p w14:paraId="14395BAA" w14:textId="7DD58732" w:rsidR="00D80957" w:rsidRPr="00672982" w:rsidRDefault="00D80957" w:rsidP="0033186E">
      <w:pPr>
        <w:tabs>
          <w:tab w:val="left" w:pos="1985"/>
        </w:tabs>
        <w:spacing w:before="240" w:after="0"/>
        <w:jc w:val="both"/>
        <w:rPr>
          <w:rFonts w:ascii="Arial" w:hAnsi="Arial" w:cs="Arial"/>
          <w:bCs/>
          <w:sz w:val="22"/>
          <w:szCs w:val="22"/>
          <w:lang w:val="en-US"/>
        </w:rPr>
      </w:pPr>
      <w:r w:rsidRPr="00672982">
        <w:rPr>
          <w:rFonts w:ascii="Arial" w:hAnsi="Arial" w:cs="Arial"/>
          <w:b/>
          <w:sz w:val="22"/>
          <w:szCs w:val="22"/>
          <w:lang w:val="en-US"/>
        </w:rPr>
        <w:t>Agenda Item:</w:t>
      </w:r>
      <w:r w:rsidRPr="00672982">
        <w:rPr>
          <w:rFonts w:ascii="Arial" w:hAnsi="Arial" w:cs="Arial"/>
          <w:b/>
          <w:sz w:val="22"/>
          <w:szCs w:val="22"/>
          <w:lang w:val="en-US"/>
        </w:rPr>
        <w:tab/>
      </w:r>
      <w:r w:rsidR="0085130E">
        <w:rPr>
          <w:rFonts w:ascii="Arial" w:hAnsi="Arial" w:cs="Arial"/>
          <w:sz w:val="22"/>
          <w:szCs w:val="22"/>
          <w:lang w:val="en-US"/>
        </w:rPr>
        <w:t>6.15.1.2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332724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D550D3">
        <w:rPr>
          <w:rFonts w:ascii="Arial" w:hAnsi="Arial" w:cs="Arial"/>
          <w:sz w:val="22"/>
          <w:szCs w:val="22"/>
          <w:lang w:val="en-CA"/>
        </w:rPr>
        <w:t>activation of multiple SCells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7A7A2B2A" w14:textId="676E1172" w:rsidR="006404CC" w:rsidRDefault="00CD40B1" w:rsidP="00DC14E2">
      <w:pPr>
        <w:rPr>
          <w:rFonts w:asciiTheme="minorHAnsi" w:hAnsiTheme="minorHAnsi" w:cstheme="minorHAnsi"/>
          <w:sz w:val="22"/>
          <w:szCs w:val="22"/>
          <w:lang w:val="en-CA"/>
        </w:rPr>
      </w:pPr>
      <w:r w:rsidRPr="008F46A4">
        <w:rPr>
          <w:rFonts w:asciiTheme="minorHAnsi" w:hAnsiTheme="minorHAnsi" w:cstheme="minorHAnsi"/>
          <w:sz w:val="22"/>
          <w:szCs w:val="22"/>
          <w:lang w:val="en-CA"/>
        </w:rPr>
        <w:t xml:space="preserve">At RAN4#94e, activation delay requirements for activation of multiple SCells were discussed, and a way forward was agreed </w:t>
      </w:r>
      <w:r w:rsidRPr="008F46A4">
        <w:rPr>
          <w:rFonts w:asciiTheme="minorHAnsi" w:hAnsiTheme="minorHAnsi" w:cstheme="minorHAnsi"/>
          <w:sz w:val="22"/>
          <w:szCs w:val="22"/>
          <w:lang w:val="en-CA"/>
        </w:rPr>
        <w:fldChar w:fldCharType="begin"/>
      </w:r>
      <w:r w:rsidRPr="008F46A4">
        <w:rPr>
          <w:rFonts w:asciiTheme="minorHAnsi" w:hAnsiTheme="minorHAnsi" w:cstheme="minorHAnsi"/>
          <w:sz w:val="22"/>
          <w:szCs w:val="22"/>
          <w:lang w:val="en-CA"/>
        </w:rPr>
        <w:instrText xml:space="preserve"> REF _Ref32486117 \r \h </w:instrText>
      </w:r>
      <w:r w:rsidR="00A45D30" w:rsidRPr="008F46A4">
        <w:rPr>
          <w:rFonts w:asciiTheme="minorHAnsi" w:hAnsiTheme="minorHAnsi" w:cstheme="minorHAnsi"/>
          <w:sz w:val="22"/>
          <w:szCs w:val="22"/>
          <w:lang w:val="en-CA"/>
        </w:rPr>
        <w:instrText xml:space="preserve"> \* MERGEFORMAT </w:instrText>
      </w:r>
      <w:r w:rsidRPr="008F46A4">
        <w:rPr>
          <w:rFonts w:asciiTheme="minorHAnsi" w:hAnsiTheme="minorHAnsi" w:cstheme="minorHAnsi"/>
          <w:sz w:val="22"/>
          <w:szCs w:val="22"/>
          <w:lang w:val="en-CA"/>
        </w:rPr>
      </w:r>
      <w:r w:rsidRPr="008F46A4">
        <w:rPr>
          <w:rFonts w:asciiTheme="minorHAnsi" w:hAnsiTheme="minorHAnsi" w:cstheme="minorHAnsi"/>
          <w:sz w:val="22"/>
          <w:szCs w:val="22"/>
          <w:lang w:val="en-CA"/>
        </w:rPr>
        <w:fldChar w:fldCharType="separate"/>
      </w:r>
      <w:r w:rsidR="008F0C80" w:rsidRPr="008F46A4">
        <w:rPr>
          <w:rFonts w:asciiTheme="minorHAnsi" w:hAnsiTheme="minorHAnsi" w:cstheme="minorHAnsi"/>
          <w:sz w:val="22"/>
          <w:szCs w:val="22"/>
          <w:lang w:val="en-CA"/>
        </w:rPr>
        <w:t>[1]</w:t>
      </w:r>
      <w:r w:rsidRPr="008F46A4">
        <w:rPr>
          <w:rFonts w:asciiTheme="minorHAnsi" w:hAnsiTheme="minorHAnsi" w:cstheme="minorHAnsi"/>
          <w:sz w:val="22"/>
          <w:szCs w:val="22"/>
          <w:lang w:val="en-CA"/>
        </w:rPr>
        <w:fldChar w:fldCharType="end"/>
      </w:r>
      <w:r w:rsidRPr="008F46A4">
        <w:rPr>
          <w:rFonts w:asciiTheme="minorHAnsi" w:hAnsiTheme="minorHAnsi" w:cstheme="minorHAnsi"/>
          <w:sz w:val="22"/>
          <w:szCs w:val="22"/>
          <w:lang w:val="en-CA"/>
        </w:rPr>
        <w:t>.</w:t>
      </w:r>
      <w:r w:rsidR="006404CC">
        <w:rPr>
          <w:rFonts w:asciiTheme="minorHAnsi" w:hAnsiTheme="minorHAnsi" w:cstheme="minorHAnsi"/>
          <w:sz w:val="22"/>
          <w:szCs w:val="22"/>
          <w:lang w:val="en-CA"/>
        </w:rPr>
        <w:t xml:space="preserve"> One of the open issues concerns the scaling factor to apply for cell detection time of unknown target cell in FR1.</w:t>
      </w:r>
    </w:p>
    <w:p w14:paraId="495A6F56" w14:textId="1F85663C" w:rsidR="00FD22E8" w:rsidRPr="006404CC" w:rsidRDefault="006404CC" w:rsidP="006404CC">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we are addressing the issue regarding the scaling factor. </w:t>
      </w:r>
      <w:r w:rsidR="00CD40B1" w:rsidRPr="008F46A4">
        <w:rPr>
          <w:rFonts w:asciiTheme="minorHAnsi" w:hAnsiTheme="minorHAnsi" w:cstheme="minorHAnsi"/>
          <w:sz w:val="22"/>
          <w:szCs w:val="22"/>
          <w:lang w:val="en-CA"/>
        </w:rPr>
        <w:t xml:space="preserve"> </w:t>
      </w:r>
    </w:p>
    <w:p w14:paraId="41854D9F" w14:textId="21BD92B8" w:rsidR="00C659C2" w:rsidRPr="008F46A4" w:rsidRDefault="00FF6031" w:rsidP="008F46A4">
      <w:pPr>
        <w:pStyle w:val="Heading1"/>
        <w:ind w:left="431" w:hanging="431"/>
        <w:rPr>
          <w:szCs w:val="36"/>
          <w:lang w:val="en-CA"/>
        </w:rPr>
      </w:pPr>
      <w:r>
        <w:rPr>
          <w:szCs w:val="36"/>
          <w:lang w:val="en-CA"/>
        </w:rPr>
        <w:t>Discussion</w:t>
      </w:r>
    </w:p>
    <w:p w14:paraId="0F66B8A9" w14:textId="77777777" w:rsidR="00243AEC" w:rsidRDefault="00243AEC" w:rsidP="0082620D">
      <w:pPr>
        <w:spacing w:after="0"/>
        <w:rPr>
          <w:rFonts w:asciiTheme="minorHAnsi" w:hAnsiTheme="minorHAnsi" w:cstheme="minorHAnsi"/>
          <w:i/>
          <w:iCs/>
          <w:color w:val="000000" w:themeColor="text1"/>
          <w:sz w:val="22"/>
          <w:lang w:val="en-CA"/>
        </w:rPr>
      </w:pPr>
      <w:r>
        <w:rPr>
          <w:rFonts w:asciiTheme="minorHAnsi" w:hAnsiTheme="minorHAnsi" w:cstheme="minorHAnsi"/>
          <w:i/>
          <w:iCs/>
          <w:color w:val="000000" w:themeColor="text1"/>
          <w:sz w:val="22"/>
          <w:u w:val="single"/>
          <w:lang w:val="en-CA"/>
        </w:rPr>
        <w:t>Scaling factor for cell detection time of unknown target SCell</w:t>
      </w:r>
    </w:p>
    <w:p w14:paraId="51051255" w14:textId="77777777" w:rsidR="00243AEC" w:rsidRDefault="00243AEC" w:rsidP="0082620D">
      <w:pPr>
        <w:spacing w:after="0"/>
        <w:rPr>
          <w:rFonts w:asciiTheme="minorHAnsi" w:hAnsiTheme="minorHAnsi" w:cstheme="minorHAnsi"/>
          <w:color w:val="000000" w:themeColor="text1"/>
          <w:sz w:val="22"/>
          <w:lang w:val="en-CA"/>
        </w:rPr>
      </w:pPr>
    </w:p>
    <w:p w14:paraId="6D3C6ABB" w14:textId="59556075" w:rsidR="00BF4247" w:rsidRDefault="00744E19" w:rsidP="0082620D">
      <w:pPr>
        <w:spacing w:after="0"/>
        <w:rPr>
          <w:rFonts w:asciiTheme="minorHAnsi" w:hAnsiTheme="minorHAnsi" w:cstheme="minorHAnsi"/>
          <w:color w:val="000000" w:themeColor="text1"/>
          <w:sz w:val="22"/>
          <w:lang w:val="en-CA"/>
        </w:rPr>
      </w:pPr>
      <w:r w:rsidRPr="00A91AD7">
        <w:rPr>
          <w:rFonts w:asciiTheme="minorHAnsi" w:hAnsiTheme="minorHAnsi" w:cstheme="minorHAnsi"/>
          <w:sz w:val="22"/>
          <w:lang w:val="en-CA"/>
        </w:rPr>
        <w:t>At RAN4#94e</w:t>
      </w:r>
      <w:r>
        <w:rPr>
          <w:rFonts w:asciiTheme="minorHAnsi" w:hAnsiTheme="minorHAnsi" w:cstheme="minorHAnsi"/>
          <w:sz w:val="22"/>
          <w:lang w:val="en-CA"/>
        </w:rPr>
        <w:t xml:space="preserve"> i</w:t>
      </w:r>
      <w:r w:rsidR="00243AEC">
        <w:rPr>
          <w:rFonts w:asciiTheme="minorHAnsi" w:hAnsiTheme="minorHAnsi" w:cstheme="minorHAnsi"/>
          <w:color w:val="000000" w:themeColor="text1"/>
          <w:sz w:val="22"/>
          <w:lang w:val="en-CA"/>
        </w:rPr>
        <w:t xml:space="preserve">t was agreed that </w:t>
      </w:r>
      <w:r w:rsidR="00BF4247">
        <w:rPr>
          <w:rFonts w:asciiTheme="minorHAnsi" w:hAnsiTheme="minorHAnsi" w:cstheme="minorHAnsi"/>
          <w:color w:val="000000" w:themeColor="text1"/>
          <w:sz w:val="22"/>
          <w:lang w:val="en-CA"/>
        </w:rPr>
        <w:t>when more than one unknown SCell is activated, the cell detection time for each SCell is increased by N, where N is the number of unknown SCells that require cell detection hardware.</w:t>
      </w:r>
    </w:p>
    <w:p w14:paraId="03ED7FB5" w14:textId="328B086F" w:rsidR="00BF4247" w:rsidRDefault="00BF4247" w:rsidP="0082620D">
      <w:pPr>
        <w:spacing w:after="0"/>
        <w:rPr>
          <w:rFonts w:asciiTheme="minorHAnsi" w:hAnsiTheme="minorHAnsi" w:cstheme="minorHAnsi"/>
          <w:color w:val="000000" w:themeColor="text1"/>
          <w:sz w:val="22"/>
          <w:lang w:val="en-CA"/>
        </w:rPr>
      </w:pPr>
    </w:p>
    <w:p w14:paraId="1ACF58C7" w14:textId="55703862" w:rsidR="00BF4247" w:rsidRDefault="00BF4247"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For SCells in FR2, it was </w:t>
      </w:r>
      <w:r w:rsidR="00744E19">
        <w:rPr>
          <w:rFonts w:asciiTheme="minorHAnsi" w:hAnsiTheme="minorHAnsi" w:cstheme="minorHAnsi"/>
          <w:color w:val="000000" w:themeColor="text1"/>
          <w:sz w:val="22"/>
          <w:lang w:val="en-CA"/>
        </w:rPr>
        <w:t xml:space="preserve">further </w:t>
      </w:r>
      <w:r>
        <w:rPr>
          <w:rFonts w:asciiTheme="minorHAnsi" w:hAnsiTheme="minorHAnsi" w:cstheme="minorHAnsi"/>
          <w:color w:val="000000" w:themeColor="text1"/>
          <w:sz w:val="22"/>
          <w:lang w:val="en-CA"/>
        </w:rPr>
        <w:t xml:space="preserve">agreed that if an unknown SCell is to be activated and there already is a known cell or active serving cell in the FR2 band, the unknown SCell does not need cell detection hardware but can “inherit” timing from the known </w:t>
      </w:r>
      <w:r w:rsidR="007102AB">
        <w:rPr>
          <w:rFonts w:asciiTheme="minorHAnsi" w:hAnsiTheme="minorHAnsi" w:cstheme="minorHAnsi"/>
          <w:color w:val="000000" w:themeColor="text1"/>
          <w:sz w:val="22"/>
          <w:lang w:val="en-CA"/>
        </w:rPr>
        <w:t xml:space="preserve">cell to-be-activated </w:t>
      </w:r>
      <w:r>
        <w:rPr>
          <w:rFonts w:asciiTheme="minorHAnsi" w:hAnsiTheme="minorHAnsi" w:cstheme="minorHAnsi"/>
          <w:color w:val="000000" w:themeColor="text1"/>
          <w:sz w:val="22"/>
          <w:lang w:val="en-CA"/>
        </w:rPr>
        <w:t xml:space="preserve">or </w:t>
      </w:r>
      <w:r w:rsidR="007102AB">
        <w:rPr>
          <w:rFonts w:asciiTheme="minorHAnsi" w:hAnsiTheme="minorHAnsi" w:cstheme="minorHAnsi"/>
          <w:color w:val="000000" w:themeColor="text1"/>
          <w:sz w:val="22"/>
          <w:lang w:val="en-CA"/>
        </w:rPr>
        <w:t xml:space="preserve">an </w:t>
      </w:r>
      <w:r>
        <w:rPr>
          <w:rFonts w:asciiTheme="minorHAnsi" w:hAnsiTheme="minorHAnsi" w:cstheme="minorHAnsi"/>
          <w:color w:val="000000" w:themeColor="text1"/>
          <w:sz w:val="22"/>
          <w:lang w:val="en-CA"/>
        </w:rPr>
        <w:t>active cell.</w:t>
      </w:r>
    </w:p>
    <w:p w14:paraId="43A113CD" w14:textId="15816E00" w:rsidR="00BF4247" w:rsidRDefault="00BF4247" w:rsidP="0082620D">
      <w:pPr>
        <w:spacing w:after="0"/>
        <w:rPr>
          <w:rFonts w:asciiTheme="minorHAnsi" w:hAnsiTheme="minorHAnsi" w:cstheme="minorHAnsi"/>
          <w:color w:val="000000" w:themeColor="text1"/>
          <w:sz w:val="22"/>
          <w:lang w:val="en-CA"/>
        </w:rPr>
      </w:pPr>
    </w:p>
    <w:p w14:paraId="27027BC2" w14:textId="03B077D6" w:rsidR="00744E19" w:rsidRDefault="00BF4247"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For SCells in FR1, it was agreed to further study</w:t>
      </w:r>
      <w:r w:rsidR="007102AB">
        <w:rPr>
          <w:rFonts w:asciiTheme="minorHAnsi" w:hAnsiTheme="minorHAnsi" w:cstheme="minorHAnsi"/>
          <w:color w:val="000000" w:themeColor="text1"/>
          <w:sz w:val="22"/>
          <w:lang w:val="en-CA"/>
        </w:rPr>
        <w:t xml:space="preserve"> the support in the specifications for the same being applicable to contiguous intra-band scenarios where the unknown SCell to-be-added is contiguous in frequency to a known SCell to-be-activated or to an active serving cell.</w:t>
      </w:r>
      <w:r w:rsidR="00744E19">
        <w:rPr>
          <w:rFonts w:asciiTheme="minorHAnsi" w:hAnsiTheme="minorHAnsi" w:cstheme="minorHAnsi"/>
          <w:color w:val="000000" w:themeColor="text1"/>
          <w:sz w:val="22"/>
          <w:lang w:val="en-CA"/>
        </w:rPr>
        <w:t xml:space="preserve"> </w:t>
      </w:r>
      <w:r w:rsidR="00D03A56">
        <w:rPr>
          <w:rFonts w:asciiTheme="minorHAnsi" w:hAnsiTheme="minorHAnsi" w:cstheme="minorHAnsi"/>
          <w:color w:val="000000" w:themeColor="text1"/>
          <w:sz w:val="22"/>
          <w:lang w:val="en-CA"/>
        </w:rPr>
        <w:t xml:space="preserve">The background is that we have an agreement from RAN4#93 stating that if the receive time difference between the cell used as reference and the unknown target cell is less than or equal to 260ns, no searcher hardware is needed </w:t>
      </w:r>
      <w:r w:rsidR="00D03A56">
        <w:rPr>
          <w:rFonts w:asciiTheme="minorHAnsi" w:hAnsiTheme="minorHAnsi" w:cstheme="minorHAnsi"/>
          <w:color w:val="000000" w:themeColor="text1"/>
          <w:sz w:val="22"/>
          <w:lang w:val="en-CA"/>
        </w:rPr>
        <w:fldChar w:fldCharType="begin"/>
      </w:r>
      <w:r w:rsidR="00D03A56">
        <w:rPr>
          <w:rFonts w:asciiTheme="minorHAnsi" w:hAnsiTheme="minorHAnsi" w:cstheme="minorHAnsi"/>
          <w:color w:val="000000" w:themeColor="text1"/>
          <w:sz w:val="22"/>
          <w:lang w:val="en-CA"/>
        </w:rPr>
        <w:instrText xml:space="preserve"> REF _Ref37424472 \r \h </w:instrText>
      </w:r>
      <w:r w:rsidR="00D03A56">
        <w:rPr>
          <w:rFonts w:asciiTheme="minorHAnsi" w:hAnsiTheme="minorHAnsi" w:cstheme="minorHAnsi"/>
          <w:color w:val="000000" w:themeColor="text1"/>
          <w:sz w:val="22"/>
          <w:lang w:val="en-CA"/>
        </w:rPr>
      </w:r>
      <w:r w:rsidR="00D03A56">
        <w:rPr>
          <w:rFonts w:asciiTheme="minorHAnsi" w:hAnsiTheme="minorHAnsi" w:cstheme="minorHAnsi"/>
          <w:color w:val="000000" w:themeColor="text1"/>
          <w:sz w:val="22"/>
          <w:lang w:val="en-CA"/>
        </w:rPr>
        <w:fldChar w:fldCharType="separate"/>
      </w:r>
      <w:r w:rsidR="00D03A56">
        <w:rPr>
          <w:rFonts w:asciiTheme="minorHAnsi" w:hAnsiTheme="minorHAnsi" w:cstheme="minorHAnsi"/>
          <w:color w:val="000000" w:themeColor="text1"/>
          <w:sz w:val="22"/>
          <w:lang w:val="en-CA"/>
        </w:rPr>
        <w:t>[3]</w:t>
      </w:r>
      <w:r w:rsidR="00D03A56">
        <w:rPr>
          <w:rFonts w:asciiTheme="minorHAnsi" w:hAnsiTheme="minorHAnsi" w:cstheme="minorHAnsi"/>
          <w:color w:val="000000" w:themeColor="text1"/>
          <w:sz w:val="22"/>
          <w:lang w:val="en-CA"/>
        </w:rPr>
        <w:fldChar w:fldCharType="end"/>
      </w:r>
      <w:r w:rsidR="00D03A56">
        <w:rPr>
          <w:rFonts w:asciiTheme="minorHAnsi" w:hAnsiTheme="minorHAnsi" w:cstheme="minorHAnsi"/>
          <w:color w:val="000000" w:themeColor="text1"/>
          <w:sz w:val="22"/>
          <w:lang w:val="en-CA"/>
        </w:rPr>
        <w:t xml:space="preserve">. </w:t>
      </w:r>
      <w:r w:rsidR="00744E19">
        <w:rPr>
          <w:rFonts w:asciiTheme="minorHAnsi" w:hAnsiTheme="minorHAnsi" w:cstheme="minorHAnsi"/>
          <w:color w:val="000000" w:themeColor="text1"/>
          <w:sz w:val="22"/>
          <w:lang w:val="en-CA"/>
        </w:rPr>
        <w:t xml:space="preserve">At RAN4#94e-Bis the issue was further discussed, without reaching a conclusion. </w:t>
      </w:r>
      <w:r w:rsidR="00D03A56">
        <w:rPr>
          <w:rFonts w:asciiTheme="minorHAnsi" w:hAnsiTheme="minorHAnsi" w:cstheme="minorHAnsi"/>
          <w:color w:val="000000" w:themeColor="text1"/>
          <w:sz w:val="22"/>
          <w:lang w:val="en-CA"/>
        </w:rPr>
        <w:t xml:space="preserve">The concern from some companies was that receive time difference between contiguous cells </w:t>
      </w:r>
      <w:r w:rsidR="00DE2537">
        <w:rPr>
          <w:rFonts w:asciiTheme="minorHAnsi" w:hAnsiTheme="minorHAnsi" w:cstheme="minorHAnsi"/>
          <w:color w:val="000000" w:themeColor="text1"/>
          <w:sz w:val="22"/>
          <w:lang w:val="en-CA"/>
        </w:rPr>
        <w:t xml:space="preserve">used in carrier aggregation </w:t>
      </w:r>
      <w:r w:rsidR="00D03A56">
        <w:rPr>
          <w:rFonts w:asciiTheme="minorHAnsi" w:hAnsiTheme="minorHAnsi" w:cstheme="minorHAnsi"/>
          <w:color w:val="000000" w:themeColor="text1"/>
          <w:sz w:val="22"/>
          <w:lang w:val="en-CA"/>
        </w:rPr>
        <w:t>would exceed 260ns.</w:t>
      </w:r>
    </w:p>
    <w:p w14:paraId="23F20B29" w14:textId="17A2E323" w:rsidR="0085130E" w:rsidRDefault="0085130E" w:rsidP="0082620D">
      <w:pPr>
        <w:spacing w:after="0"/>
        <w:rPr>
          <w:rFonts w:asciiTheme="minorHAnsi" w:hAnsiTheme="minorHAnsi" w:cstheme="minorHAnsi"/>
          <w:color w:val="000000" w:themeColor="text1"/>
          <w:sz w:val="22"/>
          <w:lang w:val="en-CA"/>
        </w:rPr>
      </w:pPr>
    </w:p>
    <w:p w14:paraId="33BD4094" w14:textId="0BEF41AA" w:rsidR="0085130E" w:rsidRDefault="0085130E"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Below we go through the support in the specifications that indicates that a UE can determine the timing of a SCell to be activated based on the timing of another serving within the same cell group. </w:t>
      </w:r>
    </w:p>
    <w:p w14:paraId="3DB72EDE" w14:textId="77777777" w:rsidR="00D03A56" w:rsidRDefault="00D03A56" w:rsidP="0082620D">
      <w:pPr>
        <w:spacing w:after="0"/>
        <w:rPr>
          <w:rFonts w:asciiTheme="minorHAnsi" w:hAnsiTheme="minorHAnsi" w:cstheme="minorHAnsi"/>
          <w:color w:val="000000" w:themeColor="text1"/>
          <w:sz w:val="22"/>
          <w:lang w:val="en-CA"/>
        </w:rPr>
      </w:pPr>
    </w:p>
    <w:p w14:paraId="50487A45" w14:textId="522DC130" w:rsidR="007102AB" w:rsidRDefault="00D03A56"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TS 38.133 specifies that for intra-band CA, only </w:t>
      </w:r>
      <w:r w:rsidR="002B40C2">
        <w:rPr>
          <w:rFonts w:asciiTheme="minorHAnsi" w:hAnsiTheme="minorHAnsi" w:cstheme="minorHAnsi"/>
          <w:color w:val="000000" w:themeColor="text1"/>
          <w:sz w:val="22"/>
          <w:lang w:val="en-CA"/>
        </w:rPr>
        <w:t>co-locat</w:t>
      </w:r>
      <w:r>
        <w:rPr>
          <w:rFonts w:asciiTheme="minorHAnsi" w:hAnsiTheme="minorHAnsi" w:cstheme="minorHAnsi"/>
          <w:color w:val="000000" w:themeColor="text1"/>
          <w:sz w:val="22"/>
          <w:lang w:val="en-CA"/>
        </w:rPr>
        <w:t>ed deployment is considered</w:t>
      </w:r>
      <w:r w:rsidR="00206C5C">
        <w:rPr>
          <w:rFonts w:asciiTheme="minorHAnsi" w:hAnsiTheme="minorHAnsi" w:cstheme="minorHAnsi"/>
          <w:color w:val="000000" w:themeColor="text1"/>
          <w:sz w:val="22"/>
          <w:lang w:val="en-CA"/>
        </w:rPr>
        <w:t>:</w:t>
      </w:r>
    </w:p>
    <w:p w14:paraId="296024FD" w14:textId="77777777" w:rsidR="00206C5C" w:rsidRPr="002B40C2" w:rsidRDefault="00206C5C" w:rsidP="006F2CE3">
      <w:pPr>
        <w:pStyle w:val="Heading3"/>
        <w:numPr>
          <w:ilvl w:val="0"/>
          <w:numId w:val="0"/>
        </w:numPr>
        <w:spacing w:after="0"/>
        <w:ind w:left="1288" w:hanging="720"/>
        <w:rPr>
          <w:sz w:val="24"/>
          <w:szCs w:val="18"/>
          <w:lang w:eastAsia="ko-KR"/>
        </w:rPr>
      </w:pPr>
      <w:r w:rsidRPr="002B40C2">
        <w:rPr>
          <w:sz w:val="24"/>
          <w:szCs w:val="18"/>
          <w:lang w:eastAsia="ko-KR"/>
        </w:rPr>
        <w:t>7.6.</w:t>
      </w:r>
      <w:r w:rsidRPr="002B40C2">
        <w:rPr>
          <w:rFonts w:eastAsia="Malgun Gothic"/>
          <w:sz w:val="24"/>
          <w:szCs w:val="18"/>
          <w:lang w:eastAsia="ko-KR"/>
        </w:rPr>
        <w:t>4</w:t>
      </w:r>
      <w:r w:rsidRPr="002B40C2">
        <w:rPr>
          <w:sz w:val="24"/>
          <w:szCs w:val="18"/>
          <w:lang w:eastAsia="ko-KR"/>
        </w:rPr>
        <w:tab/>
        <w:t>Minimum Requirements for NR Carrier Aggregation</w:t>
      </w:r>
    </w:p>
    <w:p w14:paraId="1BF17D4F" w14:textId="77777777" w:rsidR="006F2CE3" w:rsidRDefault="00206C5C" w:rsidP="002B40C2">
      <w:pPr>
        <w:spacing w:after="0"/>
        <w:ind w:left="568"/>
        <w:rPr>
          <w:rFonts w:cs="v4.2.0"/>
          <w:sz w:val="18"/>
          <w:szCs w:val="18"/>
          <w:lang w:eastAsia="zh-CN"/>
        </w:rPr>
      </w:pPr>
      <w:r w:rsidRPr="002B40C2">
        <w:rPr>
          <w:rFonts w:cs="v4.2.0"/>
          <w:sz w:val="18"/>
          <w:szCs w:val="18"/>
          <w:highlight w:val="cyan"/>
        </w:rPr>
        <w:t xml:space="preserve">For intra-band </w:t>
      </w:r>
      <w:r w:rsidRPr="002B40C2">
        <w:rPr>
          <w:rFonts w:eastAsia="Malgun Gothic" w:cs="v4.2.0"/>
          <w:sz w:val="18"/>
          <w:szCs w:val="18"/>
          <w:highlight w:val="cyan"/>
          <w:lang w:eastAsia="zh-CN"/>
        </w:rPr>
        <w:t>CA</w:t>
      </w:r>
      <w:r w:rsidRPr="002B40C2">
        <w:rPr>
          <w:rFonts w:cs="v4.2.0"/>
          <w:sz w:val="18"/>
          <w:szCs w:val="18"/>
          <w:highlight w:val="cyan"/>
        </w:rPr>
        <w:t>, only</w:t>
      </w:r>
      <w:r w:rsidRPr="002B40C2">
        <w:rPr>
          <w:rFonts w:cs="v4.2.0"/>
          <w:sz w:val="18"/>
          <w:szCs w:val="18"/>
          <w:highlight w:val="cyan"/>
          <w:lang w:eastAsia="zh-CN"/>
        </w:rPr>
        <w:t xml:space="preserve"> </w:t>
      </w:r>
      <w:r w:rsidRPr="002B40C2">
        <w:rPr>
          <w:rFonts w:cs="v4.2.0"/>
          <w:sz w:val="18"/>
          <w:szCs w:val="18"/>
          <w:highlight w:val="cyan"/>
        </w:rPr>
        <w:t xml:space="preserve">co-located deployment is </w:t>
      </w:r>
      <w:r w:rsidRPr="002B40C2">
        <w:rPr>
          <w:rFonts w:cs="v4.2.0"/>
          <w:sz w:val="18"/>
          <w:szCs w:val="18"/>
          <w:highlight w:val="cyan"/>
          <w:lang w:eastAsia="zh-CN"/>
        </w:rPr>
        <w:t>applied.</w:t>
      </w:r>
    </w:p>
    <w:p w14:paraId="005D2FFB" w14:textId="7F23D00D" w:rsidR="00206C5C" w:rsidRPr="002B40C2" w:rsidRDefault="00206C5C" w:rsidP="002B40C2">
      <w:pPr>
        <w:spacing w:after="0"/>
        <w:ind w:left="568"/>
        <w:rPr>
          <w:rFonts w:cs="v4.2.0"/>
          <w:sz w:val="18"/>
          <w:szCs w:val="18"/>
          <w:lang w:eastAsia="zh-CN"/>
        </w:rPr>
      </w:pPr>
      <w:r w:rsidRPr="002B40C2">
        <w:rPr>
          <w:rFonts w:cs="v4.2.0"/>
          <w:sz w:val="18"/>
          <w:szCs w:val="18"/>
          <w:lang w:eastAsia="zh-CN"/>
        </w:rPr>
        <w:t>[…]</w:t>
      </w:r>
    </w:p>
    <w:p w14:paraId="7C5A4C69" w14:textId="3DC16C90" w:rsidR="00206C5C" w:rsidRDefault="00206C5C" w:rsidP="002B40C2">
      <w:pPr>
        <w:spacing w:after="0"/>
        <w:ind w:left="568"/>
        <w:rPr>
          <w:rFonts w:cs="v4.2.0"/>
          <w:sz w:val="18"/>
          <w:szCs w:val="18"/>
          <w:lang w:eastAsia="zh-CN"/>
        </w:rPr>
      </w:pPr>
    </w:p>
    <w:p w14:paraId="406E96D2" w14:textId="6D9CCD34" w:rsidR="00975458" w:rsidRDefault="00975458" w:rsidP="002B40C2">
      <w:pPr>
        <w:spacing w:after="0"/>
        <w:ind w:left="568"/>
        <w:rPr>
          <w:rFonts w:cs="v4.2.0"/>
          <w:sz w:val="18"/>
          <w:szCs w:val="18"/>
          <w:lang w:eastAsia="zh-CN"/>
        </w:rPr>
      </w:pPr>
    </w:p>
    <w:p w14:paraId="0C9C55F8" w14:textId="1E4AA0E3" w:rsidR="00975458" w:rsidRDefault="00975458" w:rsidP="00975458">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Observation 1:</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Aggregated intra-band cells are co-located (38.133 clause 7.6.4)</w:t>
      </w:r>
      <w:r w:rsidR="00D03A56">
        <w:rPr>
          <w:rFonts w:asciiTheme="minorHAnsi" w:hAnsiTheme="minorHAnsi" w:cstheme="minorHAnsi"/>
          <w:color w:val="1F497D" w:themeColor="text2"/>
          <w:sz w:val="22"/>
        </w:rPr>
        <w:t xml:space="preserve"> and hence transmitted from the same site.</w:t>
      </w:r>
    </w:p>
    <w:p w14:paraId="300AF504" w14:textId="2F66580C" w:rsidR="00D03A56" w:rsidRDefault="00D03A56" w:rsidP="00975458">
      <w:pPr>
        <w:spacing w:after="0"/>
        <w:ind w:left="1418" w:hanging="1418"/>
        <w:rPr>
          <w:rFonts w:asciiTheme="minorHAnsi" w:hAnsiTheme="minorHAnsi" w:cstheme="minorHAnsi"/>
          <w:color w:val="1F497D" w:themeColor="text2"/>
          <w:sz w:val="22"/>
        </w:rPr>
      </w:pPr>
    </w:p>
    <w:p w14:paraId="136CBC36" w14:textId="303BB931" w:rsidR="00975458" w:rsidRPr="00E80690" w:rsidRDefault="00D03A56" w:rsidP="00E80690">
      <w:pPr>
        <w:spacing w:after="0"/>
        <w:rPr>
          <w:rFonts w:asciiTheme="minorHAnsi" w:hAnsiTheme="minorHAnsi" w:cstheme="minorHAnsi"/>
          <w:sz w:val="22"/>
        </w:rPr>
      </w:pPr>
      <w:r w:rsidRPr="00D03A56">
        <w:rPr>
          <w:rFonts w:asciiTheme="minorHAnsi" w:hAnsiTheme="minorHAnsi" w:cstheme="minorHAnsi"/>
          <w:sz w:val="22"/>
        </w:rPr>
        <w:t xml:space="preserve">TS 38.104 specifies that </w:t>
      </w:r>
      <w:r w:rsidR="00E80690">
        <w:rPr>
          <w:rFonts w:asciiTheme="minorHAnsi" w:hAnsiTheme="minorHAnsi" w:cstheme="minorHAnsi"/>
          <w:sz w:val="22"/>
        </w:rPr>
        <w:t xml:space="preserve">for intra-band contiguous CA, transmission time alignment error between cells shall be less than or equal to 260ns: </w:t>
      </w:r>
    </w:p>
    <w:p w14:paraId="0BBA02CE" w14:textId="77777777" w:rsidR="00206C5C" w:rsidRPr="002B40C2" w:rsidRDefault="00206C5C" w:rsidP="006F2CE3">
      <w:pPr>
        <w:keepNext/>
        <w:keepLines/>
        <w:spacing w:before="120" w:after="0"/>
        <w:ind w:left="568"/>
        <w:outlineLvl w:val="2"/>
        <w:rPr>
          <w:rFonts w:ascii="Arial" w:eastAsia="Malgun Gothic" w:hAnsi="Arial"/>
          <w:sz w:val="24"/>
          <w:szCs w:val="18"/>
        </w:rPr>
      </w:pPr>
      <w:r w:rsidRPr="002B40C2">
        <w:rPr>
          <w:rFonts w:ascii="Arial" w:eastAsia="Malgun Gothic" w:hAnsi="Arial"/>
          <w:sz w:val="24"/>
          <w:szCs w:val="18"/>
        </w:rPr>
        <w:t>6.5.3</w:t>
      </w:r>
      <w:r w:rsidRPr="002B40C2">
        <w:rPr>
          <w:rFonts w:ascii="Arial" w:eastAsia="Malgun Gothic" w:hAnsi="Arial"/>
          <w:sz w:val="24"/>
          <w:szCs w:val="18"/>
        </w:rPr>
        <w:tab/>
        <w:t>Time alignment error</w:t>
      </w:r>
    </w:p>
    <w:p w14:paraId="54A7F8D7" w14:textId="22BAE10F" w:rsidR="00206C5C" w:rsidRPr="002B40C2" w:rsidRDefault="00206C5C" w:rsidP="006F2CE3">
      <w:pPr>
        <w:spacing w:after="0"/>
        <w:ind w:left="568"/>
        <w:rPr>
          <w:rFonts w:eastAsia="Malgun Gothic"/>
          <w:sz w:val="14"/>
          <w:szCs w:val="14"/>
        </w:rPr>
      </w:pPr>
      <w:r w:rsidRPr="002B40C2">
        <w:rPr>
          <w:rFonts w:eastAsia="Malgun Gothic"/>
          <w:sz w:val="18"/>
          <w:szCs w:val="14"/>
        </w:rPr>
        <w:t>[…]</w:t>
      </w:r>
    </w:p>
    <w:p w14:paraId="4B0230C3" w14:textId="77777777" w:rsidR="00206C5C" w:rsidRPr="002B40C2" w:rsidRDefault="00206C5C" w:rsidP="006F2CE3">
      <w:pPr>
        <w:keepNext/>
        <w:keepLines/>
        <w:spacing w:before="120" w:after="0"/>
        <w:ind w:left="568"/>
        <w:outlineLvl w:val="3"/>
        <w:rPr>
          <w:rFonts w:ascii="Arial" w:eastAsia="Malgun Gothic" w:hAnsi="Arial"/>
          <w:sz w:val="22"/>
          <w:szCs w:val="18"/>
        </w:rPr>
      </w:pPr>
      <w:r w:rsidRPr="002B40C2">
        <w:rPr>
          <w:rFonts w:ascii="Arial" w:eastAsia="Malgun Gothic" w:hAnsi="Arial"/>
          <w:sz w:val="22"/>
          <w:szCs w:val="18"/>
        </w:rPr>
        <w:lastRenderedPageBreak/>
        <w:t>6.5.3.2</w:t>
      </w:r>
      <w:r w:rsidRPr="002B40C2">
        <w:rPr>
          <w:rFonts w:ascii="Arial" w:eastAsia="Malgun Gothic" w:hAnsi="Arial"/>
          <w:sz w:val="22"/>
          <w:szCs w:val="18"/>
        </w:rPr>
        <w:tab/>
        <w:t>Minimum requirement</w:t>
      </w:r>
      <w:r w:rsidRPr="002B40C2">
        <w:rPr>
          <w:rFonts w:ascii="Arial" w:eastAsia="Malgun Gothic" w:hAnsi="Arial"/>
          <w:sz w:val="22"/>
          <w:szCs w:val="18"/>
          <w:lang w:eastAsia="ja-JP"/>
        </w:rPr>
        <w:t xml:space="preserve"> for </w:t>
      </w:r>
      <w:r w:rsidRPr="002B40C2">
        <w:rPr>
          <w:rFonts w:ascii="Arial" w:eastAsia="Malgun Gothic" w:hAnsi="Arial"/>
          <w:i/>
          <w:sz w:val="22"/>
          <w:szCs w:val="18"/>
          <w:lang w:eastAsia="ja-JP"/>
        </w:rPr>
        <w:t>BS type 1-C</w:t>
      </w:r>
      <w:r w:rsidRPr="002B40C2">
        <w:rPr>
          <w:rFonts w:ascii="Arial" w:eastAsia="Malgun Gothic" w:hAnsi="Arial"/>
          <w:sz w:val="22"/>
          <w:szCs w:val="18"/>
          <w:lang w:eastAsia="ja-JP"/>
        </w:rPr>
        <w:t xml:space="preserve"> and</w:t>
      </w:r>
      <w:r w:rsidRPr="002B40C2">
        <w:rPr>
          <w:rFonts w:ascii="Arial" w:eastAsia="Malgun Gothic" w:hAnsi="Arial" w:hint="eastAsia"/>
          <w:sz w:val="22"/>
          <w:szCs w:val="18"/>
          <w:lang w:val="en-US" w:eastAsia="zh-CN"/>
        </w:rPr>
        <w:t xml:space="preserve"> </w:t>
      </w:r>
      <w:r w:rsidRPr="002B40C2">
        <w:rPr>
          <w:rFonts w:ascii="Arial" w:eastAsia="Malgun Gothic" w:hAnsi="Arial"/>
          <w:i/>
          <w:sz w:val="22"/>
          <w:szCs w:val="18"/>
          <w:lang w:eastAsia="ja-JP"/>
        </w:rPr>
        <w:t>BS type</w:t>
      </w:r>
      <w:r w:rsidRPr="002B40C2">
        <w:rPr>
          <w:rFonts w:ascii="Arial" w:eastAsia="Malgun Gothic" w:hAnsi="Arial"/>
          <w:sz w:val="22"/>
          <w:szCs w:val="18"/>
          <w:lang w:eastAsia="ja-JP"/>
        </w:rPr>
        <w:t xml:space="preserve"> </w:t>
      </w:r>
      <w:r w:rsidRPr="002B40C2">
        <w:rPr>
          <w:rFonts w:ascii="Arial" w:eastAsia="Malgun Gothic" w:hAnsi="Arial"/>
          <w:i/>
          <w:iCs/>
          <w:sz w:val="22"/>
          <w:szCs w:val="18"/>
          <w:lang w:eastAsia="ja-JP"/>
        </w:rPr>
        <w:t>1-H</w:t>
      </w:r>
    </w:p>
    <w:p w14:paraId="2E158ED2" w14:textId="54B594E8" w:rsidR="00206C5C" w:rsidRPr="002B40C2" w:rsidRDefault="00206C5C" w:rsidP="006F2CE3">
      <w:pPr>
        <w:spacing w:after="0"/>
        <w:ind w:left="568"/>
        <w:rPr>
          <w:rFonts w:eastAsia="Malgun Gothic"/>
          <w:sz w:val="18"/>
          <w:szCs w:val="18"/>
        </w:rPr>
      </w:pPr>
      <w:r w:rsidRPr="002B40C2">
        <w:rPr>
          <w:rFonts w:eastAsia="Malgun Gothic"/>
          <w:sz w:val="18"/>
          <w:szCs w:val="18"/>
        </w:rPr>
        <w:t>[…]</w:t>
      </w:r>
    </w:p>
    <w:p w14:paraId="0C14C9EF" w14:textId="77777777" w:rsidR="00206C5C" w:rsidRPr="002B40C2" w:rsidRDefault="00206C5C" w:rsidP="006F2CE3">
      <w:pPr>
        <w:spacing w:after="0"/>
        <w:ind w:left="568"/>
        <w:rPr>
          <w:rFonts w:eastAsia="Malgun Gothic"/>
          <w:sz w:val="18"/>
          <w:szCs w:val="18"/>
        </w:rPr>
      </w:pPr>
      <w:r w:rsidRPr="002B40C2">
        <w:rPr>
          <w:rFonts w:eastAsia="Malgun Gothic"/>
          <w:sz w:val="18"/>
          <w:szCs w:val="18"/>
          <w:highlight w:val="cyan"/>
        </w:rPr>
        <w:t xml:space="preserve">For </w:t>
      </w:r>
      <w:r w:rsidRPr="002B40C2">
        <w:rPr>
          <w:rFonts w:eastAsia="Malgun Gothic"/>
          <w:i/>
          <w:sz w:val="18"/>
          <w:szCs w:val="18"/>
          <w:highlight w:val="cyan"/>
        </w:rPr>
        <w:t>intra-band contiguous carrier aggregation</w:t>
      </w:r>
      <w:r w:rsidRPr="002B40C2">
        <w:rPr>
          <w:rFonts w:eastAsia="Malgun Gothic"/>
          <w:sz w:val="18"/>
          <w:szCs w:val="18"/>
          <w:highlight w:val="cyan"/>
        </w:rPr>
        <w:t>, with or without MIMO, TAE shall not exceed</w:t>
      </w:r>
      <w:r w:rsidRPr="002B40C2">
        <w:rPr>
          <w:rFonts w:eastAsia="Malgun Gothic"/>
          <w:sz w:val="18"/>
          <w:szCs w:val="18"/>
          <w:highlight w:val="cyan"/>
          <w:lang w:eastAsia="zh-CN"/>
        </w:rPr>
        <w:t xml:space="preserve"> 260ns</w:t>
      </w:r>
      <w:r w:rsidRPr="002B40C2">
        <w:rPr>
          <w:rFonts w:eastAsia="Malgun Gothic"/>
          <w:sz w:val="18"/>
          <w:szCs w:val="18"/>
          <w:highlight w:val="cyan"/>
        </w:rPr>
        <w:t>.</w:t>
      </w:r>
    </w:p>
    <w:p w14:paraId="179219F2" w14:textId="1881EAAD" w:rsidR="00206C5C" w:rsidRPr="002B40C2" w:rsidRDefault="00206C5C" w:rsidP="006F2CE3">
      <w:pPr>
        <w:spacing w:after="0"/>
        <w:ind w:left="568"/>
        <w:rPr>
          <w:rFonts w:eastAsia="Malgun Gothic"/>
          <w:sz w:val="18"/>
          <w:szCs w:val="18"/>
        </w:rPr>
      </w:pPr>
      <w:r w:rsidRPr="002B40C2">
        <w:rPr>
          <w:rFonts w:eastAsia="Malgun Gothic"/>
          <w:sz w:val="18"/>
          <w:szCs w:val="18"/>
        </w:rPr>
        <w:t>[…]</w:t>
      </w:r>
    </w:p>
    <w:p w14:paraId="6DC6AB9F" w14:textId="77777777" w:rsidR="00206C5C" w:rsidRPr="002B40C2" w:rsidRDefault="00206C5C" w:rsidP="006F2CE3">
      <w:pPr>
        <w:keepNext/>
        <w:keepLines/>
        <w:spacing w:before="120" w:after="0"/>
        <w:ind w:left="568"/>
        <w:outlineLvl w:val="2"/>
        <w:rPr>
          <w:rFonts w:ascii="Arial" w:eastAsia="Malgun Gothic" w:hAnsi="Arial"/>
          <w:sz w:val="24"/>
          <w:szCs w:val="18"/>
          <w:lang w:val="en-US"/>
        </w:rPr>
      </w:pPr>
      <w:r w:rsidRPr="002B40C2">
        <w:rPr>
          <w:rFonts w:ascii="Arial" w:eastAsia="Malgun Gothic" w:hAnsi="Arial"/>
          <w:sz w:val="24"/>
          <w:szCs w:val="18"/>
          <w:lang w:val="en-US"/>
        </w:rPr>
        <w:t>9.6.3</w:t>
      </w:r>
      <w:r w:rsidRPr="002B40C2">
        <w:rPr>
          <w:rFonts w:ascii="Arial" w:eastAsia="Malgun Gothic" w:hAnsi="Arial"/>
          <w:sz w:val="24"/>
          <w:szCs w:val="18"/>
          <w:lang w:val="en-US"/>
        </w:rPr>
        <w:tab/>
        <w:t>OTA time alignment error</w:t>
      </w:r>
    </w:p>
    <w:p w14:paraId="7D6CEC58" w14:textId="1CB3A2DE" w:rsidR="00206C5C" w:rsidRPr="002B40C2" w:rsidRDefault="00206C5C" w:rsidP="002B40C2">
      <w:pPr>
        <w:ind w:left="568"/>
        <w:rPr>
          <w:rFonts w:eastAsia="Malgun Gothic"/>
          <w:sz w:val="14"/>
          <w:szCs w:val="14"/>
        </w:rPr>
      </w:pPr>
      <w:r w:rsidRPr="002B40C2">
        <w:rPr>
          <w:rFonts w:eastAsia="Malgun Gothic"/>
          <w:sz w:val="18"/>
          <w:szCs w:val="14"/>
        </w:rPr>
        <w:t>[…]</w:t>
      </w:r>
    </w:p>
    <w:p w14:paraId="56B3EA99" w14:textId="77777777" w:rsidR="00206C5C" w:rsidRPr="002B40C2" w:rsidRDefault="00206C5C" w:rsidP="006F2CE3">
      <w:pPr>
        <w:keepNext/>
        <w:keepLines/>
        <w:spacing w:before="120" w:after="0"/>
        <w:ind w:left="568"/>
        <w:outlineLvl w:val="3"/>
        <w:rPr>
          <w:rFonts w:ascii="Arial" w:eastAsia="Malgun Gothic" w:hAnsi="Arial"/>
          <w:sz w:val="22"/>
          <w:szCs w:val="18"/>
        </w:rPr>
      </w:pPr>
      <w:r w:rsidRPr="002B40C2">
        <w:rPr>
          <w:rFonts w:ascii="Arial" w:eastAsia="Malgun Gothic" w:hAnsi="Arial"/>
          <w:sz w:val="22"/>
          <w:szCs w:val="18"/>
        </w:rPr>
        <w:t>9.6.3.2</w:t>
      </w:r>
      <w:r w:rsidRPr="002B40C2">
        <w:rPr>
          <w:rFonts w:ascii="Arial" w:eastAsia="Malgun Gothic" w:hAnsi="Arial"/>
          <w:sz w:val="22"/>
          <w:szCs w:val="18"/>
        </w:rPr>
        <w:tab/>
        <w:t>Minimum requirement</w:t>
      </w:r>
      <w:r w:rsidRPr="002B40C2">
        <w:rPr>
          <w:rFonts w:ascii="Arial" w:eastAsia="Malgun Gothic" w:hAnsi="Arial"/>
          <w:sz w:val="22"/>
          <w:szCs w:val="18"/>
          <w:lang w:eastAsia="ja-JP"/>
        </w:rPr>
        <w:t xml:space="preserve"> for </w:t>
      </w:r>
      <w:r w:rsidRPr="002B40C2">
        <w:rPr>
          <w:rFonts w:ascii="Arial" w:eastAsia="Malgun Gothic" w:hAnsi="Arial"/>
          <w:i/>
          <w:sz w:val="22"/>
          <w:szCs w:val="18"/>
          <w:lang w:eastAsia="ja-JP"/>
        </w:rPr>
        <w:t>BS type 1-O</w:t>
      </w:r>
    </w:p>
    <w:p w14:paraId="6C91EA56" w14:textId="6A6FA752" w:rsidR="000865AC" w:rsidRPr="002B40C2" w:rsidRDefault="000865AC" w:rsidP="006F2CE3">
      <w:pPr>
        <w:spacing w:after="0"/>
        <w:ind w:left="568"/>
        <w:rPr>
          <w:rFonts w:eastAsia="Malgun Gothic"/>
          <w:sz w:val="18"/>
          <w:szCs w:val="18"/>
        </w:rPr>
      </w:pPr>
      <w:r w:rsidRPr="002B40C2">
        <w:rPr>
          <w:rFonts w:eastAsia="Malgun Gothic"/>
          <w:sz w:val="18"/>
          <w:szCs w:val="18"/>
        </w:rPr>
        <w:t>[…]</w:t>
      </w:r>
    </w:p>
    <w:p w14:paraId="6C7471F0" w14:textId="03303C9C" w:rsidR="00206C5C" w:rsidRPr="002B40C2" w:rsidRDefault="00206C5C" w:rsidP="006F2CE3">
      <w:pPr>
        <w:spacing w:after="0"/>
        <w:ind w:left="568"/>
        <w:rPr>
          <w:rFonts w:ascii="Arial" w:eastAsia="Malgun Gothic" w:hAnsi="Arial"/>
          <w:b/>
          <w:sz w:val="18"/>
          <w:szCs w:val="18"/>
        </w:rPr>
      </w:pPr>
      <w:r w:rsidRPr="002B40C2">
        <w:rPr>
          <w:rFonts w:eastAsia="Malgun Gothic"/>
          <w:sz w:val="18"/>
          <w:szCs w:val="18"/>
          <w:highlight w:val="cyan"/>
        </w:rPr>
        <w:t xml:space="preserve">For </w:t>
      </w:r>
      <w:r w:rsidRPr="002B40C2">
        <w:rPr>
          <w:rFonts w:eastAsia="Malgun Gothic"/>
          <w:i/>
          <w:sz w:val="18"/>
          <w:szCs w:val="18"/>
          <w:highlight w:val="cyan"/>
        </w:rPr>
        <w:t>intra-band contiguous carrier aggregation</w:t>
      </w:r>
      <w:r w:rsidRPr="002B40C2">
        <w:rPr>
          <w:rFonts w:eastAsia="Malgun Gothic"/>
          <w:sz w:val="18"/>
          <w:szCs w:val="18"/>
          <w:highlight w:val="cyan"/>
        </w:rPr>
        <w:t xml:space="preserve">, with or without MIMO, OTA TAE shall not exceed </w:t>
      </w:r>
      <w:r w:rsidRPr="002B40C2">
        <w:rPr>
          <w:rFonts w:eastAsia="Malgun Gothic"/>
          <w:sz w:val="18"/>
          <w:szCs w:val="18"/>
          <w:highlight w:val="cyan"/>
          <w:lang w:eastAsia="zh-CN"/>
        </w:rPr>
        <w:t>260 ns</w:t>
      </w:r>
      <w:r w:rsidRPr="002B40C2">
        <w:rPr>
          <w:rFonts w:eastAsia="Malgun Gothic"/>
          <w:sz w:val="18"/>
          <w:szCs w:val="18"/>
          <w:highlight w:val="cyan"/>
        </w:rPr>
        <w:t>.</w:t>
      </w:r>
    </w:p>
    <w:p w14:paraId="4A43EC30" w14:textId="491D1A16" w:rsidR="00206C5C" w:rsidRPr="002B40C2" w:rsidRDefault="000865AC" w:rsidP="002B40C2">
      <w:pPr>
        <w:ind w:left="568"/>
        <w:rPr>
          <w:rFonts w:eastAsia="Malgun Gothic"/>
          <w:sz w:val="18"/>
          <w:szCs w:val="18"/>
        </w:rPr>
      </w:pPr>
      <w:r w:rsidRPr="002B40C2">
        <w:rPr>
          <w:rFonts w:eastAsia="Malgun Gothic"/>
          <w:sz w:val="18"/>
          <w:szCs w:val="18"/>
        </w:rPr>
        <w:t>[…]</w:t>
      </w:r>
    </w:p>
    <w:p w14:paraId="2AC8CBC6" w14:textId="77777777" w:rsidR="00206C5C" w:rsidRPr="002B40C2" w:rsidRDefault="00206C5C" w:rsidP="006F2CE3">
      <w:pPr>
        <w:keepNext/>
        <w:keepLines/>
        <w:spacing w:before="120" w:after="0"/>
        <w:ind w:left="568"/>
        <w:outlineLvl w:val="3"/>
        <w:rPr>
          <w:rFonts w:ascii="Arial" w:eastAsia="Malgun Gothic" w:hAnsi="Arial"/>
          <w:sz w:val="22"/>
          <w:szCs w:val="18"/>
        </w:rPr>
      </w:pPr>
      <w:r w:rsidRPr="002B40C2">
        <w:rPr>
          <w:rFonts w:ascii="Arial" w:eastAsia="Malgun Gothic" w:hAnsi="Arial"/>
          <w:sz w:val="22"/>
          <w:szCs w:val="18"/>
        </w:rPr>
        <w:t>9.6.3.3</w:t>
      </w:r>
      <w:r w:rsidRPr="002B40C2">
        <w:rPr>
          <w:rFonts w:ascii="Arial" w:eastAsia="Malgun Gothic" w:hAnsi="Arial"/>
          <w:sz w:val="22"/>
          <w:szCs w:val="18"/>
        </w:rPr>
        <w:tab/>
        <w:t>Minimum requirement</w:t>
      </w:r>
      <w:r w:rsidRPr="002B40C2">
        <w:rPr>
          <w:rFonts w:ascii="Arial" w:eastAsia="Malgun Gothic" w:hAnsi="Arial"/>
          <w:sz w:val="22"/>
          <w:szCs w:val="18"/>
          <w:lang w:eastAsia="ja-JP"/>
        </w:rPr>
        <w:t xml:space="preserve"> for </w:t>
      </w:r>
      <w:r w:rsidRPr="002B40C2">
        <w:rPr>
          <w:rFonts w:ascii="Arial" w:eastAsia="Malgun Gothic" w:hAnsi="Arial"/>
          <w:i/>
          <w:sz w:val="22"/>
          <w:szCs w:val="18"/>
          <w:lang w:eastAsia="ja-JP"/>
        </w:rPr>
        <w:t>BS type 2-O</w:t>
      </w:r>
    </w:p>
    <w:p w14:paraId="743E38B4" w14:textId="7FC9671D" w:rsidR="00206C5C" w:rsidRPr="002B40C2" w:rsidRDefault="000865AC" w:rsidP="006F2CE3">
      <w:pPr>
        <w:spacing w:after="0"/>
        <w:ind w:left="568"/>
        <w:rPr>
          <w:rFonts w:eastAsia="Malgun Gothic"/>
          <w:sz w:val="18"/>
          <w:szCs w:val="18"/>
        </w:rPr>
      </w:pPr>
      <w:r w:rsidRPr="002B40C2">
        <w:rPr>
          <w:rFonts w:eastAsia="Malgun Gothic"/>
          <w:sz w:val="18"/>
          <w:szCs w:val="18"/>
        </w:rPr>
        <w:t>[…]</w:t>
      </w:r>
    </w:p>
    <w:p w14:paraId="12124010" w14:textId="77777777" w:rsidR="00206C5C" w:rsidRPr="002B40C2" w:rsidRDefault="00206C5C" w:rsidP="006F2CE3">
      <w:pPr>
        <w:spacing w:after="0"/>
        <w:ind w:left="568"/>
        <w:rPr>
          <w:rFonts w:eastAsia="Malgun Gothic"/>
          <w:sz w:val="18"/>
          <w:szCs w:val="18"/>
        </w:rPr>
      </w:pPr>
      <w:r w:rsidRPr="002B40C2">
        <w:rPr>
          <w:rFonts w:eastAsia="Malgun Gothic"/>
          <w:sz w:val="18"/>
          <w:szCs w:val="18"/>
          <w:highlight w:val="cyan"/>
        </w:rPr>
        <w:t xml:space="preserve">For </w:t>
      </w:r>
      <w:r w:rsidRPr="002B40C2">
        <w:rPr>
          <w:rFonts w:eastAsia="Malgun Gothic"/>
          <w:i/>
          <w:sz w:val="18"/>
          <w:szCs w:val="18"/>
          <w:highlight w:val="cyan"/>
        </w:rPr>
        <w:t>intra-band contiguous carrier aggregation</w:t>
      </w:r>
      <w:r w:rsidRPr="002B40C2">
        <w:rPr>
          <w:rFonts w:eastAsia="Malgun Gothic"/>
          <w:sz w:val="18"/>
          <w:szCs w:val="18"/>
          <w:highlight w:val="cyan"/>
        </w:rPr>
        <w:t xml:space="preserve">, with or without MIMO, OTA TAE shall not exceed </w:t>
      </w:r>
      <w:r w:rsidRPr="002B40C2">
        <w:rPr>
          <w:rFonts w:eastAsia="Malgun Gothic"/>
          <w:sz w:val="18"/>
          <w:szCs w:val="18"/>
          <w:highlight w:val="cyan"/>
          <w:lang w:eastAsia="zh-CN"/>
        </w:rPr>
        <w:t>130 ns</w:t>
      </w:r>
      <w:r w:rsidRPr="002B40C2">
        <w:rPr>
          <w:rFonts w:eastAsia="Malgun Gothic"/>
          <w:sz w:val="18"/>
          <w:szCs w:val="18"/>
          <w:highlight w:val="cyan"/>
        </w:rPr>
        <w:t>.</w:t>
      </w:r>
    </w:p>
    <w:p w14:paraId="6130643A" w14:textId="3F879967" w:rsidR="00206C5C" w:rsidRPr="002B40C2" w:rsidRDefault="000865AC" w:rsidP="002B40C2">
      <w:pPr>
        <w:ind w:left="568"/>
        <w:rPr>
          <w:rFonts w:eastAsia="Malgun Gothic"/>
          <w:sz w:val="18"/>
          <w:szCs w:val="18"/>
        </w:rPr>
      </w:pPr>
      <w:r w:rsidRPr="002B40C2">
        <w:rPr>
          <w:rFonts w:eastAsia="Malgun Gothic"/>
          <w:sz w:val="18"/>
          <w:szCs w:val="18"/>
        </w:rPr>
        <w:t>[…]</w:t>
      </w:r>
    </w:p>
    <w:p w14:paraId="1A1847BE" w14:textId="77777777" w:rsidR="00C22226" w:rsidRDefault="00C22226" w:rsidP="0039018C">
      <w:pPr>
        <w:spacing w:after="0"/>
        <w:ind w:left="1418" w:hanging="1418"/>
        <w:rPr>
          <w:rFonts w:asciiTheme="minorHAnsi" w:hAnsiTheme="minorHAnsi" w:cstheme="minorHAnsi"/>
          <w:b/>
          <w:bCs/>
          <w:color w:val="1F497D" w:themeColor="text2"/>
          <w:sz w:val="22"/>
        </w:rPr>
      </w:pPr>
    </w:p>
    <w:p w14:paraId="5C63012B" w14:textId="22B7E701" w:rsidR="00FB5003" w:rsidRDefault="00975458" w:rsidP="00FB5003">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2</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r>
      <w:r w:rsidR="00FB5003">
        <w:rPr>
          <w:rFonts w:asciiTheme="minorHAnsi" w:hAnsiTheme="minorHAnsi" w:cstheme="minorHAnsi"/>
          <w:color w:val="1F497D" w:themeColor="text2"/>
          <w:sz w:val="22"/>
        </w:rPr>
        <w:t xml:space="preserve">The maximum allowed base station </w:t>
      </w:r>
      <w:r w:rsidR="00652D3B">
        <w:rPr>
          <w:rFonts w:asciiTheme="minorHAnsi" w:hAnsiTheme="minorHAnsi" w:cstheme="minorHAnsi"/>
          <w:color w:val="1F497D" w:themeColor="text2"/>
          <w:sz w:val="22"/>
        </w:rPr>
        <w:t xml:space="preserve">transmission </w:t>
      </w:r>
      <w:r w:rsidR="00FB5003">
        <w:rPr>
          <w:rFonts w:asciiTheme="minorHAnsi" w:hAnsiTheme="minorHAnsi" w:cstheme="minorHAnsi"/>
          <w:color w:val="1F497D" w:themeColor="text2"/>
          <w:sz w:val="22"/>
        </w:rPr>
        <w:t>time alignment error is less than or equal to 260ns for intra-band contiguous CA (38.104 clauses 6.5.3.2, 9.6.3.2).</w:t>
      </w:r>
    </w:p>
    <w:p w14:paraId="626DD79F" w14:textId="7E3C6211" w:rsidR="00975458" w:rsidRDefault="00975458" w:rsidP="00975458">
      <w:pPr>
        <w:spacing w:after="0"/>
        <w:ind w:left="1418" w:hanging="1418"/>
        <w:rPr>
          <w:rFonts w:asciiTheme="minorHAnsi" w:hAnsiTheme="minorHAnsi" w:cstheme="minorHAnsi"/>
          <w:color w:val="1F497D" w:themeColor="text2"/>
          <w:sz w:val="22"/>
        </w:rPr>
      </w:pPr>
    </w:p>
    <w:p w14:paraId="6679FEF3" w14:textId="65817222" w:rsidR="00E80690" w:rsidRDefault="00E80690" w:rsidP="00E80690">
      <w:pPr>
        <w:spacing w:after="0"/>
        <w:rPr>
          <w:rFonts w:asciiTheme="minorHAnsi" w:hAnsiTheme="minorHAnsi" w:cstheme="minorHAnsi"/>
          <w:sz w:val="22"/>
        </w:rPr>
      </w:pPr>
      <w:r>
        <w:rPr>
          <w:rFonts w:asciiTheme="minorHAnsi" w:hAnsiTheme="minorHAnsi" w:cstheme="minorHAnsi"/>
          <w:sz w:val="22"/>
        </w:rPr>
        <w:t>Observation 1 and 2 together thus state that signals from two contiguous cells are recevied along the same propagation path, the receive time difference will be less than or equal to 260ns.</w:t>
      </w:r>
    </w:p>
    <w:p w14:paraId="32047AD6" w14:textId="70E94093" w:rsidR="00E80690" w:rsidRDefault="00E80690" w:rsidP="00E80690">
      <w:pPr>
        <w:spacing w:after="0"/>
        <w:rPr>
          <w:rFonts w:asciiTheme="minorHAnsi" w:hAnsiTheme="minorHAnsi" w:cstheme="minorHAnsi"/>
          <w:sz w:val="22"/>
        </w:rPr>
      </w:pPr>
    </w:p>
    <w:p w14:paraId="4215FB1C" w14:textId="0E4BCB3B" w:rsidR="00652D3B" w:rsidRPr="004F5E1B" w:rsidRDefault="00E80690" w:rsidP="00DE2537">
      <w:pPr>
        <w:spacing w:after="0"/>
        <w:rPr>
          <w:rFonts w:asciiTheme="minorHAnsi" w:hAnsiTheme="minorHAnsi" w:cstheme="minorHAnsi"/>
          <w:sz w:val="22"/>
        </w:rPr>
      </w:pPr>
      <w:r>
        <w:rPr>
          <w:rFonts w:asciiTheme="minorHAnsi" w:hAnsiTheme="minorHAnsi" w:cstheme="minorHAnsi"/>
          <w:sz w:val="22"/>
        </w:rPr>
        <w:t xml:space="preserve">One concern that came up in the discussion was that the UE would not know how to translate the timing of the reference cell (contiguous active serving cell or contiguous known SCell to-be-activated). </w:t>
      </w:r>
      <w:r w:rsidR="00DE2537">
        <w:rPr>
          <w:rFonts w:asciiTheme="minorHAnsi" w:hAnsiTheme="minorHAnsi" w:cstheme="minorHAnsi"/>
          <w:sz w:val="22"/>
        </w:rPr>
        <w:t xml:space="preserve">To start with, </w:t>
      </w:r>
      <w:r w:rsidR="00C0425E" w:rsidRPr="00C0425E">
        <w:rPr>
          <w:rFonts w:asciiTheme="minorHAnsi" w:hAnsiTheme="minorHAnsi" w:cstheme="minorHAnsi"/>
          <w:color w:val="000000" w:themeColor="text1"/>
          <w:sz w:val="22"/>
          <w:lang w:val="en-CA"/>
        </w:rPr>
        <w:t>TS 38.</w:t>
      </w:r>
      <w:r w:rsidR="00C0425E">
        <w:rPr>
          <w:rFonts w:asciiTheme="minorHAnsi" w:hAnsiTheme="minorHAnsi" w:cstheme="minorHAnsi"/>
          <w:color w:val="000000" w:themeColor="text1"/>
          <w:sz w:val="22"/>
          <w:lang w:val="en-CA"/>
        </w:rPr>
        <w:t>331</w:t>
      </w:r>
      <w:r w:rsidR="00C0425E" w:rsidRPr="00C0425E">
        <w:rPr>
          <w:rFonts w:asciiTheme="minorHAnsi" w:hAnsiTheme="minorHAnsi" w:cstheme="minorHAnsi"/>
          <w:color w:val="000000" w:themeColor="text1"/>
          <w:sz w:val="22"/>
          <w:lang w:val="en-CA"/>
        </w:rPr>
        <w:t xml:space="preserve"> </w:t>
      </w:r>
      <w:r w:rsidR="00DE2537">
        <w:rPr>
          <w:rFonts w:asciiTheme="minorHAnsi" w:hAnsiTheme="minorHAnsi" w:cstheme="minorHAnsi"/>
          <w:color w:val="000000" w:themeColor="text1"/>
          <w:sz w:val="22"/>
          <w:lang w:val="en-CA"/>
        </w:rPr>
        <w:t>states that for cell in the same cell group there is not only slot boundary alignment (which is considered when discussing MRTD), but also alignment on system frame level:</w:t>
      </w:r>
    </w:p>
    <w:p w14:paraId="2CE5B614" w14:textId="77777777" w:rsidR="00F14667" w:rsidRPr="00F14667" w:rsidRDefault="00F14667" w:rsidP="00F14667">
      <w:pPr>
        <w:keepNext/>
        <w:keepLines/>
        <w:overflowPunct w:val="0"/>
        <w:autoSpaceDE w:val="0"/>
        <w:autoSpaceDN w:val="0"/>
        <w:adjustRightInd w:val="0"/>
        <w:spacing w:before="180"/>
        <w:ind w:left="568"/>
        <w:textAlignment w:val="baseline"/>
        <w:outlineLvl w:val="1"/>
        <w:rPr>
          <w:rFonts w:ascii="Arial" w:eastAsia="MS Mincho" w:hAnsi="Arial"/>
          <w:sz w:val="28"/>
          <w:szCs w:val="18"/>
          <w:lang w:eastAsia="ja-JP"/>
        </w:rPr>
      </w:pPr>
      <w:bookmarkStart w:id="4" w:name="_Toc20425652"/>
      <w:bookmarkStart w:id="5" w:name="_Toc29321048"/>
      <w:bookmarkStart w:id="6" w:name="_Toc36756632"/>
      <w:bookmarkStart w:id="7" w:name="_Toc36836173"/>
      <w:bookmarkStart w:id="8" w:name="_Toc36843150"/>
      <w:bookmarkStart w:id="9" w:name="_Toc37067439"/>
      <w:r w:rsidRPr="00F14667">
        <w:rPr>
          <w:rFonts w:ascii="Arial" w:eastAsia="MS Mincho" w:hAnsi="Arial"/>
          <w:sz w:val="28"/>
          <w:szCs w:val="18"/>
          <w:lang w:eastAsia="ja-JP"/>
        </w:rPr>
        <w:t>5.2</w:t>
      </w:r>
      <w:r w:rsidRPr="00F14667">
        <w:rPr>
          <w:rFonts w:ascii="Arial" w:eastAsia="MS Mincho" w:hAnsi="Arial"/>
          <w:sz w:val="28"/>
          <w:szCs w:val="18"/>
          <w:lang w:eastAsia="ja-JP"/>
        </w:rPr>
        <w:tab/>
        <w:t>System information</w:t>
      </w:r>
      <w:bookmarkEnd w:id="4"/>
      <w:bookmarkEnd w:id="5"/>
      <w:bookmarkEnd w:id="6"/>
      <w:bookmarkEnd w:id="7"/>
      <w:bookmarkEnd w:id="8"/>
      <w:bookmarkEnd w:id="9"/>
    </w:p>
    <w:p w14:paraId="0386E354" w14:textId="77777777" w:rsidR="00F14667" w:rsidRPr="00F14667" w:rsidRDefault="00F14667" w:rsidP="00F14667">
      <w:pPr>
        <w:keepNext/>
        <w:keepLines/>
        <w:overflowPunct w:val="0"/>
        <w:autoSpaceDE w:val="0"/>
        <w:autoSpaceDN w:val="0"/>
        <w:adjustRightInd w:val="0"/>
        <w:spacing w:before="120"/>
        <w:ind w:left="568"/>
        <w:textAlignment w:val="baseline"/>
        <w:outlineLvl w:val="2"/>
        <w:rPr>
          <w:rFonts w:ascii="Arial" w:eastAsia="MS Mincho" w:hAnsi="Arial"/>
          <w:sz w:val="24"/>
          <w:szCs w:val="18"/>
          <w:lang w:eastAsia="ja-JP"/>
        </w:rPr>
      </w:pPr>
      <w:bookmarkStart w:id="10" w:name="_Toc20425653"/>
      <w:bookmarkStart w:id="11" w:name="_Toc29321049"/>
      <w:bookmarkStart w:id="12" w:name="_Toc36756633"/>
      <w:bookmarkStart w:id="13" w:name="_Toc36836174"/>
      <w:bookmarkStart w:id="14" w:name="_Toc36843151"/>
      <w:bookmarkStart w:id="15" w:name="_Toc37067440"/>
      <w:r w:rsidRPr="00F14667">
        <w:rPr>
          <w:rFonts w:ascii="Arial" w:eastAsia="MS Mincho" w:hAnsi="Arial"/>
          <w:sz w:val="24"/>
          <w:szCs w:val="18"/>
          <w:lang w:eastAsia="ja-JP"/>
        </w:rPr>
        <w:t>5.2.1</w:t>
      </w:r>
      <w:r w:rsidRPr="00F14667">
        <w:rPr>
          <w:rFonts w:ascii="Arial" w:eastAsia="MS Mincho" w:hAnsi="Arial"/>
          <w:sz w:val="24"/>
          <w:szCs w:val="18"/>
          <w:lang w:eastAsia="ja-JP"/>
        </w:rPr>
        <w:tab/>
        <w:t>Introduction</w:t>
      </w:r>
      <w:bookmarkEnd w:id="10"/>
      <w:bookmarkEnd w:id="11"/>
      <w:bookmarkEnd w:id="12"/>
      <w:bookmarkEnd w:id="13"/>
      <w:bookmarkEnd w:id="14"/>
      <w:bookmarkEnd w:id="15"/>
    </w:p>
    <w:p w14:paraId="68CBBA9F" w14:textId="77777777" w:rsidR="00F14667" w:rsidRPr="00F14667" w:rsidRDefault="00F14667" w:rsidP="00F14667">
      <w:pPr>
        <w:overflowPunct w:val="0"/>
        <w:autoSpaceDE w:val="0"/>
        <w:autoSpaceDN w:val="0"/>
        <w:adjustRightInd w:val="0"/>
        <w:ind w:left="568"/>
        <w:textAlignment w:val="baseline"/>
        <w:rPr>
          <w:rFonts w:eastAsia="MS Mincho"/>
          <w:sz w:val="18"/>
          <w:szCs w:val="18"/>
          <w:lang w:eastAsia="ja-JP"/>
        </w:rPr>
      </w:pPr>
      <w:r w:rsidRPr="00F14667">
        <w:rPr>
          <w:rFonts w:eastAsia="Times New Roman"/>
          <w:sz w:val="18"/>
          <w:szCs w:val="18"/>
          <w:lang w:eastAsia="ja-JP"/>
        </w:rPr>
        <w:t xml:space="preserve">System Information (SI) is divided into the </w:t>
      </w:r>
      <w:r w:rsidRPr="00F14667">
        <w:rPr>
          <w:rFonts w:eastAsia="Times New Roman"/>
          <w:i/>
          <w:sz w:val="18"/>
          <w:szCs w:val="18"/>
          <w:lang w:eastAsia="ja-JP"/>
        </w:rPr>
        <w:t>MIB</w:t>
      </w:r>
      <w:r w:rsidRPr="00F14667">
        <w:rPr>
          <w:rFonts w:eastAsia="Times New Roman"/>
          <w:sz w:val="18"/>
          <w:szCs w:val="18"/>
          <w:lang w:eastAsia="ja-JP"/>
        </w:rPr>
        <w:t xml:space="preserve"> and a number of SIBs and posSIBs where:</w:t>
      </w:r>
    </w:p>
    <w:p w14:paraId="64AB8DB3" w14:textId="348915D0" w:rsidR="00F14667" w:rsidRPr="00F14667" w:rsidRDefault="00F14667" w:rsidP="00AB004E">
      <w:pPr>
        <w:overflowPunct w:val="0"/>
        <w:autoSpaceDE w:val="0"/>
        <w:autoSpaceDN w:val="0"/>
        <w:adjustRightInd w:val="0"/>
        <w:spacing w:after="0"/>
        <w:ind w:left="1136" w:hanging="284"/>
        <w:textAlignment w:val="baseline"/>
        <w:rPr>
          <w:rFonts w:eastAsia="Times New Roman"/>
          <w:sz w:val="18"/>
          <w:szCs w:val="18"/>
          <w:lang w:eastAsia="ja-JP"/>
        </w:rPr>
      </w:pPr>
      <w:r>
        <w:rPr>
          <w:rFonts w:eastAsia="Times New Roman"/>
          <w:sz w:val="18"/>
          <w:szCs w:val="18"/>
          <w:lang w:eastAsia="ja-JP"/>
        </w:rPr>
        <w:t>[…]</w:t>
      </w:r>
    </w:p>
    <w:p w14:paraId="429F33AA" w14:textId="3DEBAC7F" w:rsidR="00F14667" w:rsidRDefault="00F14667" w:rsidP="00AB004E">
      <w:pPr>
        <w:overflowPunct w:val="0"/>
        <w:autoSpaceDE w:val="0"/>
        <w:autoSpaceDN w:val="0"/>
        <w:adjustRightInd w:val="0"/>
        <w:spacing w:after="0"/>
        <w:ind w:left="1136" w:hanging="284"/>
        <w:textAlignment w:val="baseline"/>
        <w:rPr>
          <w:rFonts w:eastAsia="Times New Roman"/>
          <w:sz w:val="18"/>
          <w:szCs w:val="18"/>
          <w:lang w:eastAsia="ja-JP"/>
        </w:rPr>
      </w:pPr>
      <w:r w:rsidRPr="00F14667">
        <w:rPr>
          <w:rFonts w:eastAsia="Times New Roman"/>
          <w:sz w:val="18"/>
          <w:szCs w:val="18"/>
          <w:lang w:eastAsia="ja-JP"/>
        </w:rPr>
        <w:t>--</w:t>
      </w:r>
      <w:r w:rsidRPr="00F14667">
        <w:rPr>
          <w:rFonts w:eastAsia="Times New Roman"/>
          <w:sz w:val="18"/>
          <w:szCs w:val="18"/>
          <w:lang w:eastAsia="ja-JP"/>
        </w:rPr>
        <w:tab/>
      </w:r>
      <w:r w:rsidRPr="00F14667">
        <w:rPr>
          <w:rFonts w:eastAsia="Times New Roman"/>
          <w:sz w:val="18"/>
          <w:szCs w:val="18"/>
          <w:highlight w:val="cyan"/>
          <w:lang w:eastAsia="ja-JP"/>
        </w:rPr>
        <w:t>For PSCell and SCells, the network provides the required SI by dedicated signalling</w:t>
      </w:r>
      <w:r w:rsidRPr="00F14667">
        <w:rPr>
          <w:rFonts w:eastAsia="Times New Roman"/>
          <w:sz w:val="18"/>
          <w:szCs w:val="18"/>
          <w:lang w:eastAsia="ja-JP"/>
        </w:rPr>
        <w:t xml:space="preserve">, i.e. within an </w:t>
      </w:r>
      <w:r w:rsidRPr="00F14667">
        <w:rPr>
          <w:rFonts w:eastAsia="Times New Roman"/>
          <w:bCs/>
          <w:i/>
          <w:iCs/>
          <w:sz w:val="18"/>
          <w:szCs w:val="18"/>
          <w:lang w:eastAsia="ja-JP"/>
        </w:rPr>
        <w:t>RRCReconfiguration</w:t>
      </w:r>
      <w:r w:rsidRPr="00F14667">
        <w:rPr>
          <w:rFonts w:eastAsia="Times New Roman"/>
          <w:bCs/>
          <w:iCs/>
          <w:sz w:val="18"/>
          <w:szCs w:val="18"/>
          <w:lang w:eastAsia="ja-JP"/>
        </w:rPr>
        <w:t xml:space="preserve"> message</w:t>
      </w:r>
      <w:r w:rsidRPr="00F14667">
        <w:rPr>
          <w:rFonts w:eastAsia="Times New Roman"/>
          <w:sz w:val="18"/>
          <w:szCs w:val="18"/>
          <w:lang w:eastAsia="ja-JP"/>
        </w:rPr>
        <w:t xml:space="preserve">. </w:t>
      </w:r>
      <w:r w:rsidRPr="00F14667">
        <w:rPr>
          <w:rFonts w:eastAsia="Times New Roman"/>
          <w:sz w:val="18"/>
          <w:szCs w:val="18"/>
          <w:highlight w:val="cyan"/>
          <w:lang w:eastAsia="ja-JP"/>
        </w:rPr>
        <w:t xml:space="preserve">Nevertheless, the UE shall acquire </w:t>
      </w:r>
      <w:r w:rsidRPr="00F14667">
        <w:rPr>
          <w:rFonts w:eastAsia="Times New Roman"/>
          <w:i/>
          <w:sz w:val="18"/>
          <w:szCs w:val="18"/>
          <w:highlight w:val="cyan"/>
          <w:lang w:eastAsia="ja-JP"/>
        </w:rPr>
        <w:t>MIB</w:t>
      </w:r>
      <w:r w:rsidRPr="00F14667">
        <w:rPr>
          <w:rFonts w:eastAsia="Times New Roman"/>
          <w:sz w:val="18"/>
          <w:szCs w:val="18"/>
          <w:highlight w:val="cyan"/>
          <w:lang w:eastAsia="ja-JP"/>
        </w:rPr>
        <w:t xml:space="preserve"> of the PSCell to get SFN timing of the SCG (which may be different from MCG).</w:t>
      </w:r>
      <w:r w:rsidRPr="00F14667">
        <w:rPr>
          <w:rFonts w:eastAsia="Times New Roman"/>
          <w:sz w:val="18"/>
          <w:szCs w:val="18"/>
          <w:lang w:eastAsia="ja-JP"/>
        </w:rPr>
        <w:t xml:space="preserve"> Upon change of relevant SI for SCell, the network releases and adds the concerned SCell. For PSCell, the required SI can only be changed with Reconfiguration with Sync.</w:t>
      </w:r>
    </w:p>
    <w:p w14:paraId="7F0F045F" w14:textId="26BA9F8E" w:rsidR="00652D3B" w:rsidRPr="00DE2537" w:rsidRDefault="00F14667" w:rsidP="00DE2537">
      <w:pPr>
        <w:overflowPunct w:val="0"/>
        <w:autoSpaceDE w:val="0"/>
        <w:autoSpaceDN w:val="0"/>
        <w:adjustRightInd w:val="0"/>
        <w:ind w:left="1136" w:hanging="284"/>
        <w:textAlignment w:val="baseline"/>
        <w:rPr>
          <w:rFonts w:eastAsia="Times New Roman"/>
          <w:sz w:val="18"/>
          <w:szCs w:val="18"/>
          <w:lang w:eastAsia="ja-JP"/>
        </w:rPr>
      </w:pPr>
      <w:r>
        <w:rPr>
          <w:rFonts w:eastAsia="Times New Roman"/>
          <w:sz w:val="18"/>
          <w:szCs w:val="18"/>
          <w:lang w:eastAsia="ja-JP"/>
        </w:rPr>
        <w:t>[…]</w:t>
      </w:r>
    </w:p>
    <w:p w14:paraId="60F98891" w14:textId="1CB9B632" w:rsidR="00391E09" w:rsidRDefault="00391E09" w:rsidP="00391E09">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3</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SFN alignment (on top of slot border alignment) is assumed for cells in the same cell group (MCG, SCG) (38.331 clause 5.2.1)</w:t>
      </w:r>
    </w:p>
    <w:p w14:paraId="1B8F5A35" w14:textId="65846603" w:rsidR="00391E09" w:rsidRDefault="00391E09" w:rsidP="00391E09">
      <w:pPr>
        <w:spacing w:after="0"/>
        <w:ind w:left="1418" w:hanging="1418"/>
        <w:rPr>
          <w:rFonts w:asciiTheme="minorHAnsi" w:hAnsiTheme="minorHAnsi" w:cstheme="minorHAnsi"/>
          <w:color w:val="1F497D" w:themeColor="text2"/>
          <w:sz w:val="22"/>
        </w:rPr>
      </w:pPr>
    </w:p>
    <w:p w14:paraId="4F3A3B5B" w14:textId="29C5E458" w:rsidR="00477C4A" w:rsidRPr="00C0425E" w:rsidRDefault="00DE2537" w:rsidP="00477C4A">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The SFN alignment means that it is clear to the UE, without reading the MIB of the SCell to-be-added, where to find the SSB burst. Next, regarding which SSB burst indexes that are used in a SCell, </w:t>
      </w:r>
      <w:r w:rsidR="00477C4A" w:rsidRPr="00C0425E">
        <w:rPr>
          <w:rFonts w:asciiTheme="minorHAnsi" w:hAnsiTheme="minorHAnsi" w:cstheme="minorHAnsi"/>
          <w:color w:val="000000" w:themeColor="text1"/>
          <w:sz w:val="22"/>
          <w:lang w:val="en-CA"/>
        </w:rPr>
        <w:t>TS 38.</w:t>
      </w:r>
      <w:r w:rsidR="00477C4A">
        <w:rPr>
          <w:rFonts w:asciiTheme="minorHAnsi" w:hAnsiTheme="minorHAnsi" w:cstheme="minorHAnsi"/>
          <w:color w:val="000000" w:themeColor="text1"/>
          <w:sz w:val="22"/>
          <w:lang w:val="en-CA"/>
        </w:rPr>
        <w:t>331</w:t>
      </w:r>
      <w:r w:rsidR="00477C4A" w:rsidRPr="00C0425E">
        <w:rPr>
          <w:rFonts w:asciiTheme="minorHAnsi" w:hAnsiTheme="minorHAnsi" w:cstheme="minorHAnsi"/>
          <w:color w:val="000000" w:themeColor="text1"/>
          <w:sz w:val="22"/>
          <w:lang w:val="en-CA"/>
        </w:rPr>
        <w:t xml:space="preserve"> </w:t>
      </w:r>
      <w:r>
        <w:rPr>
          <w:rFonts w:asciiTheme="minorHAnsi" w:hAnsiTheme="minorHAnsi" w:cstheme="minorHAnsi"/>
          <w:color w:val="000000" w:themeColor="text1"/>
          <w:sz w:val="22"/>
          <w:lang w:val="en-CA"/>
        </w:rPr>
        <w:t>specifies how this information is conveyed to the UE:</w:t>
      </w:r>
    </w:p>
    <w:p w14:paraId="1B4B7FA7" w14:textId="7D175F27" w:rsidR="00477C4A" w:rsidRDefault="00477C4A" w:rsidP="00477C4A">
      <w:pPr>
        <w:pStyle w:val="Heading3"/>
        <w:numPr>
          <w:ilvl w:val="0"/>
          <w:numId w:val="0"/>
        </w:numPr>
        <w:ind w:left="1288" w:hanging="720"/>
        <w:rPr>
          <w:sz w:val="24"/>
          <w:szCs w:val="18"/>
        </w:rPr>
      </w:pPr>
      <w:bookmarkStart w:id="16" w:name="_Toc20425929"/>
      <w:bookmarkStart w:id="17" w:name="_Toc29321325"/>
      <w:bookmarkStart w:id="18" w:name="_Toc36757060"/>
      <w:bookmarkStart w:id="19" w:name="_Toc36836601"/>
      <w:bookmarkStart w:id="20" w:name="_Toc36843578"/>
      <w:bookmarkStart w:id="21" w:name="_Toc37067867"/>
      <w:r w:rsidRPr="00477C4A">
        <w:rPr>
          <w:sz w:val="24"/>
          <w:szCs w:val="18"/>
        </w:rPr>
        <w:t>6.3.2</w:t>
      </w:r>
      <w:r w:rsidRPr="00477C4A">
        <w:rPr>
          <w:sz w:val="24"/>
          <w:szCs w:val="18"/>
        </w:rPr>
        <w:tab/>
        <w:t>Radio resource control information elements</w:t>
      </w:r>
      <w:bookmarkEnd w:id="16"/>
      <w:bookmarkEnd w:id="17"/>
      <w:bookmarkEnd w:id="18"/>
      <w:bookmarkEnd w:id="19"/>
      <w:bookmarkEnd w:id="20"/>
      <w:bookmarkEnd w:id="21"/>
    </w:p>
    <w:p w14:paraId="234A7B3A" w14:textId="7E8B64BA" w:rsidR="00391E09" w:rsidRPr="00477C4A" w:rsidRDefault="00477C4A" w:rsidP="00477C4A">
      <w:pPr>
        <w:spacing w:after="0"/>
      </w:pPr>
      <w:r>
        <w:tab/>
      </w:r>
      <w:r w:rsidRPr="00477C4A">
        <w:rPr>
          <w:sz w:val="18"/>
          <w:szCs w:val="18"/>
        </w:rPr>
        <w:tab/>
      </w:r>
      <w:r>
        <w:rPr>
          <w:sz w:val="18"/>
          <w:szCs w:val="18"/>
        </w:rPr>
        <w:tab/>
      </w:r>
      <w:r w:rsidRPr="00477C4A">
        <w:rPr>
          <w:sz w:val="18"/>
          <w:szCs w:val="18"/>
        </w:rPr>
        <w:t>[…]</w:t>
      </w:r>
    </w:p>
    <w:p w14:paraId="2E51F06F" w14:textId="77777777" w:rsidR="007D7E53" w:rsidRPr="007D7E53" w:rsidRDefault="007D7E53" w:rsidP="007D7E53">
      <w:pPr>
        <w:keepNext/>
        <w:keepLines/>
        <w:overflowPunct w:val="0"/>
        <w:autoSpaceDE w:val="0"/>
        <w:autoSpaceDN w:val="0"/>
        <w:adjustRightInd w:val="0"/>
        <w:spacing w:before="120"/>
        <w:ind w:left="852"/>
        <w:textAlignment w:val="baseline"/>
        <w:outlineLvl w:val="3"/>
        <w:rPr>
          <w:rFonts w:ascii="Arial" w:eastAsia="Times New Roman" w:hAnsi="Arial"/>
          <w:szCs w:val="16"/>
          <w:lang w:eastAsia="ja-JP"/>
        </w:rPr>
      </w:pPr>
      <w:bookmarkStart w:id="22" w:name="_Toc20426105"/>
      <w:bookmarkStart w:id="23" w:name="_Toc29321501"/>
      <w:bookmarkStart w:id="24" w:name="_Toc36757284"/>
      <w:bookmarkStart w:id="25" w:name="_Toc36836825"/>
      <w:bookmarkStart w:id="26" w:name="_Toc36843802"/>
      <w:bookmarkStart w:id="27" w:name="_Toc37068091"/>
      <w:r w:rsidRPr="007D7E53">
        <w:rPr>
          <w:rFonts w:ascii="Arial" w:eastAsia="Times New Roman" w:hAnsi="Arial"/>
          <w:szCs w:val="16"/>
          <w:lang w:eastAsia="ja-JP"/>
        </w:rPr>
        <w:t>–</w:t>
      </w:r>
      <w:r w:rsidRPr="007D7E53">
        <w:rPr>
          <w:rFonts w:ascii="Arial" w:eastAsia="Times New Roman" w:hAnsi="Arial"/>
          <w:szCs w:val="16"/>
          <w:lang w:eastAsia="ja-JP"/>
        </w:rPr>
        <w:tab/>
      </w:r>
      <w:r w:rsidRPr="007D7E53">
        <w:rPr>
          <w:rFonts w:ascii="Arial" w:eastAsia="Times New Roman" w:hAnsi="Arial"/>
          <w:i/>
          <w:szCs w:val="16"/>
          <w:lang w:eastAsia="ja-JP"/>
        </w:rPr>
        <w:t>ServingCellConfigCommon</w:t>
      </w:r>
      <w:bookmarkEnd w:id="22"/>
      <w:bookmarkEnd w:id="23"/>
      <w:bookmarkEnd w:id="24"/>
      <w:bookmarkEnd w:id="25"/>
      <w:bookmarkEnd w:id="26"/>
      <w:bookmarkEnd w:id="27"/>
    </w:p>
    <w:p w14:paraId="1881AB91" w14:textId="77777777" w:rsidR="007D7E53" w:rsidRPr="007D7E53" w:rsidRDefault="007D7E53" w:rsidP="007D7E53">
      <w:pPr>
        <w:overflowPunct w:val="0"/>
        <w:autoSpaceDE w:val="0"/>
        <w:autoSpaceDN w:val="0"/>
        <w:adjustRightInd w:val="0"/>
        <w:ind w:left="852"/>
        <w:textAlignment w:val="baseline"/>
        <w:rPr>
          <w:rFonts w:eastAsia="Times New Roman"/>
          <w:sz w:val="16"/>
          <w:szCs w:val="16"/>
          <w:lang w:eastAsia="ja-JP"/>
        </w:rPr>
      </w:pPr>
      <w:r w:rsidRPr="007D7E53">
        <w:rPr>
          <w:rFonts w:eastAsia="Times New Roman"/>
          <w:sz w:val="16"/>
          <w:szCs w:val="16"/>
          <w:lang w:eastAsia="ja-JP"/>
        </w:rPr>
        <w:t xml:space="preserve">The IE </w:t>
      </w:r>
      <w:r w:rsidRPr="007D7E53">
        <w:rPr>
          <w:rFonts w:eastAsia="Times New Roman"/>
          <w:i/>
          <w:sz w:val="16"/>
          <w:szCs w:val="16"/>
          <w:lang w:eastAsia="ja-JP"/>
        </w:rPr>
        <w:t xml:space="preserve">ServingCellConfigCommon </w:t>
      </w:r>
      <w:r w:rsidRPr="007D7E53">
        <w:rPr>
          <w:rFonts w:eastAsia="Times New Roman"/>
          <w:sz w:val="16"/>
          <w:szCs w:val="16"/>
          <w:lang w:eastAsia="ja-JP"/>
        </w:rPr>
        <w:t xml:space="preserve">is used to configure cell specific parameters of a UE's serving cell. The IE contains parameters which a UE would typically acquire from SSB, MIB or SIBs when accessing the cell from IDLE. With this IE, </w:t>
      </w:r>
      <w:r w:rsidRPr="007D7E53">
        <w:rPr>
          <w:rFonts w:eastAsia="Times New Roman"/>
          <w:sz w:val="16"/>
          <w:szCs w:val="16"/>
          <w:highlight w:val="cyan"/>
          <w:lang w:eastAsia="ja-JP"/>
        </w:rPr>
        <w:t>the network provides this information in dedicated signalling when configuring a UE with a SCells</w:t>
      </w:r>
      <w:r w:rsidRPr="007D7E53">
        <w:rPr>
          <w:rFonts w:eastAsia="Times New Roman"/>
          <w:sz w:val="16"/>
          <w:szCs w:val="16"/>
          <w:lang w:eastAsia="ja-JP"/>
        </w:rPr>
        <w:t xml:space="preserve"> or with an additional cell group (SCG). It also provides it for SpCells (MCG and SCG) upon reconfiguration with sync.</w:t>
      </w:r>
    </w:p>
    <w:p w14:paraId="419F99F7" w14:textId="77777777" w:rsidR="007D7E53" w:rsidRPr="007D7E53" w:rsidRDefault="007D7E53" w:rsidP="007D7E53">
      <w:pPr>
        <w:keepNext/>
        <w:keepLines/>
        <w:overflowPunct w:val="0"/>
        <w:autoSpaceDE w:val="0"/>
        <w:autoSpaceDN w:val="0"/>
        <w:adjustRightInd w:val="0"/>
        <w:spacing w:before="60"/>
        <w:ind w:left="852"/>
        <w:jc w:val="center"/>
        <w:textAlignment w:val="baseline"/>
        <w:rPr>
          <w:rFonts w:ascii="Arial" w:eastAsia="Times New Roman" w:hAnsi="Arial"/>
          <w:b/>
          <w:sz w:val="16"/>
          <w:szCs w:val="16"/>
          <w:lang w:eastAsia="ja-JP"/>
        </w:rPr>
      </w:pPr>
      <w:r w:rsidRPr="007D7E53">
        <w:rPr>
          <w:rFonts w:ascii="Arial" w:eastAsia="Times New Roman" w:hAnsi="Arial"/>
          <w:b/>
          <w:bCs/>
          <w:i/>
          <w:iCs/>
          <w:sz w:val="16"/>
          <w:szCs w:val="16"/>
          <w:lang w:eastAsia="ja-JP"/>
        </w:rPr>
        <w:t xml:space="preserve">ServingCellConfigCommon </w:t>
      </w:r>
      <w:r w:rsidRPr="007D7E53">
        <w:rPr>
          <w:rFonts w:ascii="Arial" w:eastAsia="Times New Roman" w:hAnsi="Arial"/>
          <w:b/>
          <w:sz w:val="16"/>
          <w:szCs w:val="16"/>
          <w:lang w:eastAsia="ja-JP"/>
        </w:rPr>
        <w:t>information element</w:t>
      </w:r>
    </w:p>
    <w:p w14:paraId="22E26CBA"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ASN1START</w:t>
      </w:r>
    </w:p>
    <w:p w14:paraId="6371E6CC"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TAG-SERVINGCELLCONFIGCOMMON-START</w:t>
      </w:r>
    </w:p>
    <w:p w14:paraId="23B00809"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333118A3"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lastRenderedPageBreak/>
        <w:t>ServingCellConfigCommon ::=         SEQUENCE {</w:t>
      </w:r>
    </w:p>
    <w:p w14:paraId="7D8AF71C" w14:textId="43D5E188"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xml:space="preserve">    physCellId                          PhysCellId                                                OPTIONAL,   -- Cond HOAndServCellAdd,</w:t>
      </w:r>
    </w:p>
    <w:p w14:paraId="5736DB77" w14:textId="641A177B"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xml:space="preserve">    downlinkConfigCommon                DownlinkConfigCommon                                      OPTIONAL,   -- Cond HOAndServCellAdd</w:t>
      </w:r>
    </w:p>
    <w:p w14:paraId="6E8E4C74" w14:textId="75C2DB43"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xml:space="preserve">    uplinkConfigCommon                  UplinkConfigCommon                                        OPTIONAL,   -- Need M</w:t>
      </w:r>
    </w:p>
    <w:p w14:paraId="6417F161" w14:textId="5BEC3032"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xml:space="preserve">    supplementaryUplinkConfig           UplinkConfigCommon                                        OPTIONAL,   -- Need S</w:t>
      </w:r>
    </w:p>
    <w:p w14:paraId="0593FE2B" w14:textId="00214F62"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xml:space="preserve">    n-TimingAdvanceOffset               ENUMERATED { n0, n25600, n39936 }                         OPTIONAL,   -- Need S</w:t>
      </w:r>
    </w:p>
    <w:p w14:paraId="198A68A0"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highlight w:val="cyan"/>
          <w:lang w:eastAsia="en-GB"/>
        </w:rPr>
      </w:pPr>
      <w:r w:rsidRPr="007D7E53">
        <w:rPr>
          <w:rFonts w:ascii="Courier New" w:eastAsia="Times New Roman" w:hAnsi="Courier New"/>
          <w:noProof/>
          <w:sz w:val="12"/>
          <w:szCs w:val="16"/>
          <w:lang w:eastAsia="en-GB"/>
        </w:rPr>
        <w:t xml:space="preserve">    </w:t>
      </w:r>
      <w:r w:rsidRPr="007D7E53">
        <w:rPr>
          <w:rFonts w:ascii="Courier New" w:eastAsia="Times New Roman" w:hAnsi="Courier New"/>
          <w:noProof/>
          <w:sz w:val="12"/>
          <w:szCs w:val="16"/>
          <w:highlight w:val="cyan"/>
          <w:lang w:eastAsia="en-GB"/>
        </w:rPr>
        <w:t>ssb-PositionsInBurst                CHOICE {</w:t>
      </w:r>
    </w:p>
    <w:p w14:paraId="6DDC9405"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highlight w:val="cyan"/>
          <w:lang w:eastAsia="en-GB"/>
        </w:rPr>
      </w:pPr>
      <w:r w:rsidRPr="007D7E53">
        <w:rPr>
          <w:rFonts w:ascii="Courier New" w:eastAsia="Times New Roman" w:hAnsi="Courier New"/>
          <w:noProof/>
          <w:sz w:val="12"/>
          <w:szCs w:val="16"/>
          <w:highlight w:val="cyan"/>
          <w:lang w:eastAsia="en-GB"/>
        </w:rPr>
        <w:t xml:space="preserve">        shortBitmap                         BIT STRING (SIZE (4)),</w:t>
      </w:r>
    </w:p>
    <w:p w14:paraId="4227721C"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highlight w:val="cyan"/>
          <w:lang w:eastAsia="en-GB"/>
        </w:rPr>
      </w:pPr>
      <w:r w:rsidRPr="007D7E53">
        <w:rPr>
          <w:rFonts w:ascii="Courier New" w:eastAsia="Times New Roman" w:hAnsi="Courier New"/>
          <w:noProof/>
          <w:sz w:val="12"/>
          <w:szCs w:val="16"/>
          <w:highlight w:val="cyan"/>
          <w:lang w:eastAsia="en-GB"/>
        </w:rPr>
        <w:t xml:space="preserve">        mediumBitmap                        BIT STRING (SIZE (8)),</w:t>
      </w:r>
    </w:p>
    <w:p w14:paraId="7E518465" w14:textId="77777777"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highlight w:val="cyan"/>
          <w:lang w:eastAsia="en-GB"/>
        </w:rPr>
        <w:t xml:space="preserve">        longBitmap                          BIT STRING (SIZE (64))</w:t>
      </w:r>
    </w:p>
    <w:p w14:paraId="668EDD94" w14:textId="52B26C3C" w:rsid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7D7E53">
        <w:rPr>
          <w:rFonts w:ascii="Courier New" w:eastAsia="Times New Roman" w:hAnsi="Courier New"/>
          <w:noProof/>
          <w:sz w:val="12"/>
          <w:szCs w:val="16"/>
          <w:lang w:eastAsia="en-GB"/>
        </w:rPr>
        <w:t xml:space="preserve">    </w:t>
      </w:r>
      <w:r w:rsidRPr="007D7E53">
        <w:rPr>
          <w:rFonts w:ascii="Courier New" w:eastAsia="Times New Roman" w:hAnsi="Courier New"/>
          <w:noProof/>
          <w:sz w:val="12"/>
          <w:szCs w:val="16"/>
          <w:highlight w:val="cyan"/>
          <w:lang w:eastAsia="en-GB"/>
        </w:rPr>
        <w:t>}</w:t>
      </w:r>
      <w:r w:rsidRPr="007D7E53">
        <w:rPr>
          <w:rFonts w:ascii="Courier New" w:eastAsia="Times New Roman" w:hAnsi="Courier New"/>
          <w:noProof/>
          <w:sz w:val="12"/>
          <w:szCs w:val="16"/>
          <w:lang w:eastAsia="en-GB"/>
        </w:rPr>
        <w:t xml:space="preserve">                                                                                             OPTIONAL, -- Cond </w:t>
      </w:r>
    </w:p>
    <w:p w14:paraId="21EF2300" w14:textId="7EEB3EBF" w:rsidR="007D7E53" w:rsidRPr="007D7E53" w:rsidRDefault="007D7E53" w:rsidP="007D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eastAsia="Times New Roman"/>
          <w:noProof/>
          <w:sz w:val="18"/>
          <w:szCs w:val="22"/>
          <w:lang w:eastAsia="en-GB"/>
        </w:rPr>
      </w:pPr>
      <w:r w:rsidRPr="007D7E53">
        <w:rPr>
          <w:rFonts w:eastAsia="Times New Roman"/>
          <w:noProof/>
          <w:sz w:val="18"/>
          <w:szCs w:val="22"/>
          <w:lang w:eastAsia="en-GB"/>
        </w:rPr>
        <w:t>[…]</w:t>
      </w:r>
    </w:p>
    <w:p w14:paraId="50B3B0AE" w14:textId="5F0AE525" w:rsidR="00652D3B" w:rsidRDefault="00652D3B" w:rsidP="00975458">
      <w:pPr>
        <w:spacing w:after="0"/>
        <w:ind w:left="1418" w:hanging="1418"/>
        <w:rPr>
          <w:rFonts w:asciiTheme="minorHAnsi" w:hAnsiTheme="minorHAnsi" w:cstheme="minorHAnsi"/>
          <w:color w:val="1F497D" w:themeColor="text2"/>
          <w:sz w:val="22"/>
        </w:rPr>
      </w:pPr>
    </w:p>
    <w:p w14:paraId="4F44A3B4" w14:textId="4FF459F8" w:rsidR="007D7E53" w:rsidRDefault="007D7E53" w:rsidP="007D7E53">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4</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SSB indexes used in the target cell are prior known to the UE via RRC signalling at SCell addition. (38.331 clause 6.3.2)</w:t>
      </w:r>
    </w:p>
    <w:p w14:paraId="4005B274" w14:textId="27D5DAAA" w:rsidR="00F14667" w:rsidRDefault="00F14667" w:rsidP="00FC4584">
      <w:pPr>
        <w:spacing w:after="0"/>
        <w:rPr>
          <w:rFonts w:asciiTheme="minorHAnsi" w:hAnsiTheme="minorHAnsi" w:cstheme="minorHAnsi"/>
          <w:color w:val="1F497D" w:themeColor="text2"/>
          <w:sz w:val="22"/>
        </w:rPr>
      </w:pPr>
    </w:p>
    <w:p w14:paraId="5ECFE33E" w14:textId="57CC6713" w:rsidR="00615142" w:rsidRPr="00FC4584" w:rsidRDefault="00DE2537" w:rsidP="00615142">
      <w:pPr>
        <w:spacing w:after="0"/>
        <w:rPr>
          <w:rFonts w:asciiTheme="minorHAnsi" w:hAnsiTheme="minorHAnsi" w:cstheme="minorHAnsi"/>
          <w:sz w:val="22"/>
        </w:rPr>
      </w:pPr>
      <w:r w:rsidRPr="00DE2537">
        <w:rPr>
          <w:rFonts w:asciiTheme="minorHAnsi" w:hAnsiTheme="minorHAnsi" w:cstheme="minorHAnsi"/>
          <w:sz w:val="22"/>
        </w:rPr>
        <w:t xml:space="preserve">Not all of the </w:t>
      </w:r>
      <w:r>
        <w:rPr>
          <w:rFonts w:asciiTheme="minorHAnsi" w:hAnsiTheme="minorHAnsi" w:cstheme="minorHAnsi"/>
          <w:sz w:val="22"/>
        </w:rPr>
        <w:t>SSB indexes m</w:t>
      </w:r>
      <w:r w:rsidR="00FC4584">
        <w:rPr>
          <w:rFonts w:asciiTheme="minorHAnsi" w:hAnsiTheme="minorHAnsi" w:cstheme="minorHAnsi"/>
          <w:sz w:val="22"/>
        </w:rPr>
        <w:t>ight</w:t>
      </w:r>
      <w:r>
        <w:rPr>
          <w:rFonts w:asciiTheme="minorHAnsi" w:hAnsiTheme="minorHAnsi" w:cstheme="minorHAnsi"/>
          <w:sz w:val="22"/>
        </w:rPr>
        <w:t xml:space="preserve"> be applicable to reception of PDCCH. TS 38.33</w:t>
      </w:r>
      <w:r w:rsidR="00FC4584">
        <w:rPr>
          <w:rFonts w:asciiTheme="minorHAnsi" w:hAnsiTheme="minorHAnsi" w:cstheme="minorHAnsi"/>
          <w:sz w:val="22"/>
        </w:rPr>
        <w:t>1</w:t>
      </w:r>
      <w:r>
        <w:rPr>
          <w:rFonts w:asciiTheme="minorHAnsi" w:hAnsiTheme="minorHAnsi" w:cstheme="minorHAnsi"/>
          <w:sz w:val="22"/>
        </w:rPr>
        <w:t xml:space="preserve"> further specifies how a (sub-)</w:t>
      </w:r>
      <w:r w:rsidR="00FC4584">
        <w:rPr>
          <w:rFonts w:asciiTheme="minorHAnsi" w:hAnsiTheme="minorHAnsi" w:cstheme="minorHAnsi"/>
          <w:sz w:val="22"/>
        </w:rPr>
        <w:t xml:space="preserve"> </w:t>
      </w:r>
      <w:r>
        <w:rPr>
          <w:rFonts w:asciiTheme="minorHAnsi" w:hAnsiTheme="minorHAnsi" w:cstheme="minorHAnsi"/>
          <w:sz w:val="22"/>
        </w:rPr>
        <w:t xml:space="preserve">set of </w:t>
      </w:r>
      <w:r w:rsidR="00FC4584">
        <w:rPr>
          <w:rFonts w:asciiTheme="minorHAnsi" w:hAnsiTheme="minorHAnsi" w:cstheme="minorHAnsi"/>
          <w:sz w:val="22"/>
        </w:rPr>
        <w:t>TCI states may be associated to a PDCCH CORESET, and where further each TCI state may be associated with a SSB index in the SSB burst:</w:t>
      </w:r>
    </w:p>
    <w:p w14:paraId="1942E0E9" w14:textId="35BAFF78" w:rsidR="00652D3B" w:rsidRPr="00615142" w:rsidRDefault="00652D3B" w:rsidP="00975458">
      <w:pPr>
        <w:spacing w:after="0"/>
        <w:ind w:left="1418" w:hanging="1418"/>
        <w:rPr>
          <w:rFonts w:asciiTheme="minorHAnsi" w:hAnsiTheme="minorHAnsi" w:cstheme="minorHAnsi"/>
          <w:color w:val="1F497D" w:themeColor="text2"/>
          <w:sz w:val="22"/>
          <w:lang w:val="en-CA"/>
        </w:rPr>
      </w:pPr>
    </w:p>
    <w:p w14:paraId="24F6A428" w14:textId="77777777" w:rsidR="00615142" w:rsidRDefault="00615142" w:rsidP="00615142">
      <w:pPr>
        <w:pStyle w:val="Heading3"/>
        <w:numPr>
          <w:ilvl w:val="0"/>
          <w:numId w:val="0"/>
        </w:numPr>
        <w:ind w:left="1288" w:hanging="720"/>
        <w:rPr>
          <w:sz w:val="24"/>
          <w:szCs w:val="18"/>
        </w:rPr>
      </w:pPr>
      <w:r w:rsidRPr="00477C4A">
        <w:rPr>
          <w:sz w:val="24"/>
          <w:szCs w:val="18"/>
        </w:rPr>
        <w:t>6.3.2</w:t>
      </w:r>
      <w:r w:rsidRPr="00477C4A">
        <w:rPr>
          <w:sz w:val="24"/>
          <w:szCs w:val="18"/>
        </w:rPr>
        <w:tab/>
        <w:t>Radio resource control information elements</w:t>
      </w:r>
    </w:p>
    <w:p w14:paraId="61E77A9B" w14:textId="3411FD74" w:rsidR="00652D3B" w:rsidRPr="00615142" w:rsidRDefault="00615142" w:rsidP="00615142">
      <w:pPr>
        <w:spacing w:after="0"/>
      </w:pPr>
      <w:r>
        <w:tab/>
      </w:r>
      <w:r w:rsidRPr="00477C4A">
        <w:rPr>
          <w:sz w:val="18"/>
          <w:szCs w:val="18"/>
        </w:rPr>
        <w:tab/>
      </w:r>
      <w:r>
        <w:rPr>
          <w:sz w:val="18"/>
          <w:szCs w:val="18"/>
        </w:rPr>
        <w:tab/>
      </w:r>
      <w:r w:rsidRPr="00477C4A">
        <w:rPr>
          <w:sz w:val="18"/>
          <w:szCs w:val="18"/>
        </w:rPr>
        <w:t>[…]</w:t>
      </w:r>
    </w:p>
    <w:p w14:paraId="171F3346" w14:textId="77777777" w:rsidR="00615142" w:rsidRPr="00615142" w:rsidRDefault="00615142" w:rsidP="00615142">
      <w:pPr>
        <w:keepNext/>
        <w:keepLines/>
        <w:overflowPunct w:val="0"/>
        <w:autoSpaceDE w:val="0"/>
        <w:autoSpaceDN w:val="0"/>
        <w:adjustRightInd w:val="0"/>
        <w:spacing w:before="120"/>
        <w:ind w:left="852"/>
        <w:textAlignment w:val="baseline"/>
        <w:outlineLvl w:val="3"/>
        <w:rPr>
          <w:rFonts w:ascii="Arial" w:eastAsia="Times New Roman" w:hAnsi="Arial"/>
          <w:szCs w:val="16"/>
          <w:lang w:eastAsia="ja-JP"/>
        </w:rPr>
      </w:pPr>
      <w:bookmarkStart w:id="28" w:name="_Toc20425959"/>
      <w:bookmarkStart w:id="29" w:name="_Toc29321355"/>
      <w:bookmarkStart w:id="30" w:name="_Toc36757110"/>
      <w:bookmarkStart w:id="31" w:name="_Toc36836651"/>
      <w:bookmarkStart w:id="32" w:name="_Toc36843628"/>
      <w:bookmarkStart w:id="33" w:name="_Toc37067917"/>
      <w:bookmarkStart w:id="34" w:name="_Hlk535756552"/>
      <w:r w:rsidRPr="00615142">
        <w:rPr>
          <w:rFonts w:ascii="Arial" w:eastAsia="Times New Roman" w:hAnsi="Arial"/>
          <w:szCs w:val="16"/>
          <w:lang w:eastAsia="ja-JP"/>
        </w:rPr>
        <w:t>–</w:t>
      </w:r>
      <w:r w:rsidRPr="00615142">
        <w:rPr>
          <w:rFonts w:ascii="Arial" w:eastAsia="Times New Roman" w:hAnsi="Arial"/>
          <w:szCs w:val="16"/>
          <w:lang w:eastAsia="ja-JP"/>
        </w:rPr>
        <w:tab/>
      </w:r>
      <w:r w:rsidRPr="00615142">
        <w:rPr>
          <w:rFonts w:ascii="Arial" w:eastAsia="Times New Roman" w:hAnsi="Arial"/>
          <w:i/>
          <w:szCs w:val="16"/>
          <w:lang w:eastAsia="ja-JP"/>
        </w:rPr>
        <w:t>ControlResourceSet</w:t>
      </w:r>
      <w:bookmarkEnd w:id="28"/>
      <w:bookmarkEnd w:id="29"/>
      <w:bookmarkEnd w:id="30"/>
      <w:bookmarkEnd w:id="31"/>
      <w:bookmarkEnd w:id="32"/>
      <w:bookmarkEnd w:id="33"/>
    </w:p>
    <w:p w14:paraId="22FECA6A" w14:textId="77777777" w:rsidR="00615142" w:rsidRPr="00615142" w:rsidRDefault="00615142" w:rsidP="00615142">
      <w:pPr>
        <w:overflowPunct w:val="0"/>
        <w:autoSpaceDE w:val="0"/>
        <w:autoSpaceDN w:val="0"/>
        <w:adjustRightInd w:val="0"/>
        <w:ind w:left="852"/>
        <w:textAlignment w:val="baseline"/>
        <w:rPr>
          <w:rFonts w:eastAsia="Times New Roman"/>
          <w:sz w:val="16"/>
          <w:szCs w:val="16"/>
          <w:lang w:eastAsia="ja-JP"/>
        </w:rPr>
      </w:pPr>
      <w:r w:rsidRPr="00615142">
        <w:rPr>
          <w:rFonts w:eastAsia="Times New Roman"/>
          <w:sz w:val="16"/>
          <w:szCs w:val="16"/>
          <w:lang w:eastAsia="ja-JP"/>
        </w:rPr>
        <w:t xml:space="preserve">The IE </w:t>
      </w:r>
      <w:r w:rsidRPr="00615142">
        <w:rPr>
          <w:rFonts w:eastAsia="Times New Roman"/>
          <w:i/>
          <w:sz w:val="16"/>
          <w:szCs w:val="16"/>
          <w:lang w:eastAsia="ja-JP"/>
        </w:rPr>
        <w:t>ControlResourceSet</w:t>
      </w:r>
      <w:r w:rsidRPr="00615142">
        <w:rPr>
          <w:rFonts w:eastAsia="Times New Roman"/>
          <w:sz w:val="16"/>
          <w:szCs w:val="16"/>
          <w:lang w:eastAsia="ja-JP"/>
        </w:rPr>
        <w:t xml:space="preserve"> is used to configure a time/frequency control resource set (CORESET) in which to search for downlink control information (see TS 38.213 [13], clause 10.1).</w:t>
      </w:r>
    </w:p>
    <w:bookmarkEnd w:id="34"/>
    <w:p w14:paraId="23A81103" w14:textId="77777777" w:rsidR="00615142" w:rsidRPr="00615142" w:rsidRDefault="00615142" w:rsidP="00615142">
      <w:pPr>
        <w:keepNext/>
        <w:keepLines/>
        <w:overflowPunct w:val="0"/>
        <w:autoSpaceDE w:val="0"/>
        <w:autoSpaceDN w:val="0"/>
        <w:adjustRightInd w:val="0"/>
        <w:spacing w:before="60"/>
        <w:ind w:left="852"/>
        <w:jc w:val="center"/>
        <w:textAlignment w:val="baseline"/>
        <w:rPr>
          <w:rFonts w:ascii="Arial" w:eastAsia="Times New Roman" w:hAnsi="Arial"/>
          <w:b/>
          <w:sz w:val="16"/>
          <w:szCs w:val="16"/>
          <w:lang w:eastAsia="ja-JP"/>
        </w:rPr>
      </w:pPr>
      <w:r w:rsidRPr="00615142">
        <w:rPr>
          <w:rFonts w:ascii="Arial" w:eastAsia="Times New Roman" w:hAnsi="Arial"/>
          <w:b/>
          <w:i/>
          <w:sz w:val="16"/>
          <w:szCs w:val="16"/>
          <w:lang w:eastAsia="ja-JP"/>
        </w:rPr>
        <w:t>ControlResourceSet</w:t>
      </w:r>
      <w:r w:rsidRPr="00615142">
        <w:rPr>
          <w:rFonts w:ascii="Arial" w:eastAsia="Times New Roman" w:hAnsi="Arial"/>
          <w:b/>
          <w:sz w:val="16"/>
          <w:szCs w:val="16"/>
          <w:lang w:eastAsia="ja-JP"/>
        </w:rPr>
        <w:t xml:space="preserve"> information element</w:t>
      </w:r>
    </w:p>
    <w:p w14:paraId="01A16507"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ASN1START</w:t>
      </w:r>
    </w:p>
    <w:p w14:paraId="27AD7537"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TAG-CONTROLRESOURCESET-START</w:t>
      </w:r>
    </w:p>
    <w:p w14:paraId="4476973F"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1495302E"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ControlResourceSet ::=              SEQUENCE {</w:t>
      </w:r>
    </w:p>
    <w:p w14:paraId="3A66203D"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controlResourceSetId                ControlResourceSetId,</w:t>
      </w:r>
    </w:p>
    <w:p w14:paraId="7AEFA198"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56173177"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frequencyDomainResources            BIT STRING (SIZE (45)),</w:t>
      </w:r>
    </w:p>
    <w:p w14:paraId="52D175C6"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duration                            INTEGER (1..maxCoReSetDuration),</w:t>
      </w:r>
    </w:p>
    <w:p w14:paraId="48A01B13"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cce-REG-MappingType                 CHOICE {</w:t>
      </w:r>
    </w:p>
    <w:p w14:paraId="413B8231"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interleaved                         SEQUENCE {</w:t>
      </w:r>
    </w:p>
    <w:p w14:paraId="22FE66EC"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reg-BundleSize                      ENUMERATED {n2, n3, n6},</w:t>
      </w:r>
    </w:p>
    <w:p w14:paraId="14BF2C67"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bookmarkStart w:id="35" w:name="_Hlk514758623"/>
      <w:r w:rsidRPr="00615142">
        <w:rPr>
          <w:rFonts w:ascii="Courier New" w:eastAsia="Times New Roman" w:hAnsi="Courier New"/>
          <w:noProof/>
          <w:sz w:val="12"/>
          <w:szCs w:val="16"/>
          <w:lang w:eastAsia="en-GB"/>
        </w:rPr>
        <w:t xml:space="preserve">            interleaverSize                     ENUMERATED {n2, n3, n6},</w:t>
      </w:r>
    </w:p>
    <w:bookmarkEnd w:id="35"/>
    <w:p w14:paraId="05171588"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shiftIndex                          INTEGER(0..maxNrofPhysicalResourceBlocks-1)       OPTIONAL -- Need S</w:t>
      </w:r>
    </w:p>
    <w:p w14:paraId="61A1B907"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w:t>
      </w:r>
    </w:p>
    <w:p w14:paraId="14442B58"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nonInterleaved                      NULL</w:t>
      </w:r>
    </w:p>
    <w:p w14:paraId="163F94BB"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w:t>
      </w:r>
    </w:p>
    <w:p w14:paraId="20398188"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precoderGranularity                 ENUMERATED {sameAsREG-bundle, allContiguousRBs},</w:t>
      </w:r>
    </w:p>
    <w:p w14:paraId="592B0FB4"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w:t>
      </w:r>
      <w:r w:rsidRPr="00615142">
        <w:rPr>
          <w:rFonts w:ascii="Courier New" w:eastAsia="Times New Roman" w:hAnsi="Courier New"/>
          <w:noProof/>
          <w:sz w:val="12"/>
          <w:szCs w:val="16"/>
          <w:highlight w:val="cyan"/>
          <w:lang w:eastAsia="en-GB"/>
        </w:rPr>
        <w:t>tci-StatesPDCCH-ToAddList           SEQUENCE(SIZE (1..maxNrofTCI-StatesPDCCH)) OF TCI-StateId</w:t>
      </w:r>
      <w:r w:rsidRPr="00615142">
        <w:rPr>
          <w:rFonts w:ascii="Courier New" w:eastAsia="Times New Roman" w:hAnsi="Courier New"/>
          <w:noProof/>
          <w:sz w:val="12"/>
          <w:szCs w:val="16"/>
          <w:lang w:eastAsia="en-GB"/>
        </w:rPr>
        <w:t xml:space="preserve"> OPTIONAL, -- Cond NotSIB1-initialBWP</w:t>
      </w:r>
    </w:p>
    <w:p w14:paraId="6406494D"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tci-StatesPDCCH-ToReleaseList       SEQUENCE(SIZE (1..maxNrofTCI-StatesPDCCH)) OF TCI-StateId OPTIONAL, -- Cond NotSIB1-initialBWP</w:t>
      </w:r>
    </w:p>
    <w:p w14:paraId="40ABE3A6" w14:textId="458D69D5"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eastAsia="Times New Roman"/>
          <w:noProof/>
          <w:szCs w:val="24"/>
          <w:lang w:eastAsia="en-GB"/>
        </w:rPr>
      </w:pPr>
      <w:r w:rsidRPr="00615142">
        <w:rPr>
          <w:rFonts w:eastAsia="Times New Roman"/>
          <w:noProof/>
          <w:szCs w:val="24"/>
          <w:lang w:eastAsia="en-GB"/>
        </w:rPr>
        <w:t>[…]</w:t>
      </w:r>
    </w:p>
    <w:p w14:paraId="2DE78F3E" w14:textId="688DCCD9" w:rsidR="00615142" w:rsidRDefault="00615142" w:rsidP="00615142">
      <w:pPr>
        <w:overflowPunct w:val="0"/>
        <w:autoSpaceDE w:val="0"/>
        <w:autoSpaceDN w:val="0"/>
        <w:adjustRightInd w:val="0"/>
        <w:ind w:left="852"/>
        <w:textAlignment w:val="baseline"/>
        <w:rPr>
          <w:rFonts w:eastAsia="Times New Roman"/>
          <w:lang w:eastAsia="ja-JP"/>
        </w:rPr>
      </w:pPr>
      <w:r w:rsidRPr="00615142">
        <w:rPr>
          <w:rFonts w:eastAsia="Times New Roman"/>
          <w:lang w:eastAsia="ja-JP"/>
        </w:rPr>
        <w:t>[…]</w:t>
      </w:r>
    </w:p>
    <w:p w14:paraId="1728AB6B" w14:textId="77777777" w:rsidR="00D95070" w:rsidRPr="00D95070" w:rsidRDefault="00D95070" w:rsidP="00D95070">
      <w:pPr>
        <w:keepNext/>
        <w:keepLines/>
        <w:overflowPunct w:val="0"/>
        <w:autoSpaceDE w:val="0"/>
        <w:autoSpaceDN w:val="0"/>
        <w:adjustRightInd w:val="0"/>
        <w:spacing w:before="120"/>
        <w:ind w:left="852"/>
        <w:textAlignment w:val="baseline"/>
        <w:outlineLvl w:val="3"/>
        <w:rPr>
          <w:rFonts w:ascii="Arial" w:eastAsia="Times New Roman" w:hAnsi="Arial"/>
          <w:szCs w:val="16"/>
          <w:lang w:eastAsia="ja-JP"/>
        </w:rPr>
      </w:pPr>
      <w:bookmarkStart w:id="36" w:name="_Toc20426121"/>
      <w:bookmarkStart w:id="37" w:name="_Toc29321517"/>
      <w:bookmarkStart w:id="38" w:name="_Toc36757305"/>
      <w:bookmarkStart w:id="39" w:name="_Toc36836846"/>
      <w:bookmarkStart w:id="40" w:name="_Toc36843823"/>
      <w:bookmarkStart w:id="41" w:name="_Toc37068112"/>
      <w:bookmarkStart w:id="42" w:name="_Hlk535949517"/>
      <w:r w:rsidRPr="00D95070">
        <w:rPr>
          <w:rFonts w:ascii="Arial" w:eastAsia="Times New Roman" w:hAnsi="Arial"/>
          <w:szCs w:val="16"/>
          <w:lang w:eastAsia="ja-JP"/>
        </w:rPr>
        <w:t>–</w:t>
      </w:r>
      <w:r w:rsidRPr="00D95070">
        <w:rPr>
          <w:rFonts w:ascii="Arial" w:eastAsia="Times New Roman" w:hAnsi="Arial"/>
          <w:szCs w:val="16"/>
          <w:lang w:eastAsia="ja-JP"/>
        </w:rPr>
        <w:tab/>
      </w:r>
      <w:r w:rsidRPr="00D95070">
        <w:rPr>
          <w:rFonts w:ascii="Arial" w:eastAsia="Times New Roman" w:hAnsi="Arial"/>
          <w:i/>
          <w:szCs w:val="16"/>
          <w:lang w:eastAsia="ja-JP"/>
        </w:rPr>
        <w:t>SSB-Index</w:t>
      </w:r>
      <w:bookmarkEnd w:id="36"/>
      <w:bookmarkEnd w:id="37"/>
      <w:bookmarkEnd w:id="38"/>
      <w:bookmarkEnd w:id="39"/>
      <w:bookmarkEnd w:id="40"/>
      <w:bookmarkEnd w:id="41"/>
    </w:p>
    <w:p w14:paraId="0E44F7D3" w14:textId="77777777" w:rsidR="00D95070" w:rsidRPr="00D95070" w:rsidRDefault="00D95070" w:rsidP="00D95070">
      <w:pPr>
        <w:overflowPunct w:val="0"/>
        <w:autoSpaceDE w:val="0"/>
        <w:autoSpaceDN w:val="0"/>
        <w:adjustRightInd w:val="0"/>
        <w:ind w:left="852"/>
        <w:textAlignment w:val="baseline"/>
        <w:rPr>
          <w:rFonts w:eastAsia="Times New Roman"/>
          <w:sz w:val="16"/>
          <w:szCs w:val="16"/>
          <w:lang w:eastAsia="ja-JP"/>
        </w:rPr>
      </w:pPr>
      <w:r w:rsidRPr="00D95070">
        <w:rPr>
          <w:rFonts w:eastAsia="Times New Roman"/>
          <w:sz w:val="16"/>
          <w:szCs w:val="16"/>
          <w:lang w:eastAsia="ja-JP"/>
        </w:rPr>
        <w:t xml:space="preserve">The IE </w:t>
      </w:r>
      <w:r w:rsidRPr="00D95070">
        <w:rPr>
          <w:rFonts w:eastAsia="Times New Roman"/>
          <w:i/>
          <w:sz w:val="16"/>
          <w:szCs w:val="16"/>
          <w:lang w:eastAsia="ja-JP"/>
        </w:rPr>
        <w:t>SSB-Index</w:t>
      </w:r>
      <w:r w:rsidRPr="00D95070">
        <w:rPr>
          <w:rFonts w:eastAsia="Times New Roman"/>
          <w:sz w:val="16"/>
          <w:szCs w:val="16"/>
          <w:lang w:eastAsia="ja-JP"/>
        </w:rPr>
        <w:t xml:space="preserve"> identifies an SS-Block within an SS-Burst. See </w:t>
      </w:r>
      <w:r w:rsidRPr="00D95070">
        <w:rPr>
          <w:rFonts w:eastAsia="Times New Roman"/>
          <w:sz w:val="16"/>
          <w:szCs w:val="18"/>
          <w:lang w:eastAsia="en-GB"/>
        </w:rPr>
        <w:t>TS 38.213 [13], clause 4.1</w:t>
      </w:r>
      <w:r w:rsidRPr="00D95070">
        <w:rPr>
          <w:rFonts w:eastAsia="Times New Roman"/>
          <w:sz w:val="16"/>
          <w:szCs w:val="16"/>
          <w:lang w:eastAsia="ja-JP"/>
        </w:rPr>
        <w:t>.</w:t>
      </w:r>
    </w:p>
    <w:bookmarkEnd w:id="42"/>
    <w:p w14:paraId="06E405DD" w14:textId="77777777" w:rsidR="00D95070" w:rsidRPr="00D95070" w:rsidRDefault="00D95070" w:rsidP="00D95070">
      <w:pPr>
        <w:keepNext/>
        <w:keepLines/>
        <w:overflowPunct w:val="0"/>
        <w:autoSpaceDE w:val="0"/>
        <w:autoSpaceDN w:val="0"/>
        <w:adjustRightInd w:val="0"/>
        <w:spacing w:before="60"/>
        <w:ind w:left="852"/>
        <w:jc w:val="center"/>
        <w:textAlignment w:val="baseline"/>
        <w:rPr>
          <w:rFonts w:ascii="Arial" w:eastAsia="Times New Roman" w:hAnsi="Arial"/>
          <w:b/>
          <w:sz w:val="16"/>
          <w:szCs w:val="16"/>
          <w:lang w:eastAsia="ja-JP"/>
        </w:rPr>
      </w:pPr>
      <w:r w:rsidRPr="00D95070">
        <w:rPr>
          <w:rFonts w:ascii="Arial" w:eastAsia="Times New Roman" w:hAnsi="Arial"/>
          <w:b/>
          <w:i/>
          <w:sz w:val="16"/>
          <w:szCs w:val="16"/>
          <w:lang w:eastAsia="ja-JP"/>
        </w:rPr>
        <w:t>SSB-Index</w:t>
      </w:r>
      <w:r w:rsidRPr="00D95070">
        <w:rPr>
          <w:rFonts w:ascii="Arial" w:eastAsia="Times New Roman" w:hAnsi="Arial"/>
          <w:b/>
          <w:sz w:val="16"/>
          <w:szCs w:val="16"/>
          <w:lang w:eastAsia="ja-JP"/>
        </w:rPr>
        <w:t xml:space="preserve"> information element</w:t>
      </w:r>
    </w:p>
    <w:p w14:paraId="74C1A934" w14:textId="77777777" w:rsidR="00D95070" w:rsidRPr="00D95070" w:rsidRDefault="00D95070" w:rsidP="00D95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D95070">
        <w:rPr>
          <w:rFonts w:ascii="Courier New" w:eastAsia="Times New Roman" w:hAnsi="Courier New"/>
          <w:noProof/>
          <w:sz w:val="12"/>
          <w:szCs w:val="16"/>
          <w:lang w:eastAsia="en-GB"/>
        </w:rPr>
        <w:t>-- ASN1START</w:t>
      </w:r>
    </w:p>
    <w:p w14:paraId="44851964" w14:textId="77777777" w:rsidR="00D95070" w:rsidRPr="00D95070" w:rsidRDefault="00D95070" w:rsidP="00D95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D95070">
        <w:rPr>
          <w:rFonts w:ascii="Courier New" w:eastAsia="Times New Roman" w:hAnsi="Courier New"/>
          <w:noProof/>
          <w:sz w:val="12"/>
          <w:szCs w:val="16"/>
          <w:lang w:eastAsia="en-GB"/>
        </w:rPr>
        <w:t>-- TAG-SSB-INDEX-START</w:t>
      </w:r>
    </w:p>
    <w:p w14:paraId="412BE194" w14:textId="77777777" w:rsidR="00D95070" w:rsidRPr="00D95070" w:rsidRDefault="00D95070" w:rsidP="00D95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4B79B2D9" w14:textId="77777777" w:rsidR="00D95070" w:rsidRPr="00D95070" w:rsidRDefault="00D95070" w:rsidP="00D95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D95070">
        <w:rPr>
          <w:rFonts w:ascii="Courier New" w:eastAsia="Times New Roman" w:hAnsi="Courier New"/>
          <w:noProof/>
          <w:sz w:val="12"/>
          <w:szCs w:val="16"/>
          <w:highlight w:val="cyan"/>
          <w:lang w:eastAsia="en-GB"/>
        </w:rPr>
        <w:t>SSB-Index ::=                       INTEGER (0..maxNrofSSBs-1)</w:t>
      </w:r>
    </w:p>
    <w:p w14:paraId="16CEFEA2" w14:textId="77777777" w:rsidR="00D95070" w:rsidRPr="00D95070" w:rsidRDefault="00D95070" w:rsidP="00D95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1E0B517D" w14:textId="77777777" w:rsidR="00D95070" w:rsidRPr="00D95070" w:rsidRDefault="00D95070" w:rsidP="00D95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D95070">
        <w:rPr>
          <w:rFonts w:ascii="Courier New" w:eastAsia="Times New Roman" w:hAnsi="Courier New"/>
          <w:noProof/>
          <w:sz w:val="12"/>
          <w:szCs w:val="16"/>
          <w:lang w:eastAsia="en-GB"/>
        </w:rPr>
        <w:t>-- TAG-SSB-INDEX-STOP</w:t>
      </w:r>
    </w:p>
    <w:p w14:paraId="3341EA93" w14:textId="77777777" w:rsidR="00D95070" w:rsidRPr="00D95070" w:rsidRDefault="00D95070" w:rsidP="00D95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MS Mincho" w:hAnsi="Courier New"/>
          <w:noProof/>
          <w:sz w:val="12"/>
          <w:szCs w:val="16"/>
          <w:lang w:eastAsia="en-GB"/>
        </w:rPr>
      </w:pPr>
      <w:r w:rsidRPr="00D95070">
        <w:rPr>
          <w:rFonts w:ascii="Courier New" w:eastAsia="Times New Roman" w:hAnsi="Courier New"/>
          <w:noProof/>
          <w:sz w:val="12"/>
          <w:szCs w:val="16"/>
          <w:lang w:eastAsia="en-GB"/>
        </w:rPr>
        <w:t>-- ASN1STOP</w:t>
      </w:r>
    </w:p>
    <w:p w14:paraId="22F88311" w14:textId="0ADAE3AD" w:rsidR="00D95070" w:rsidRPr="00615142" w:rsidRDefault="00D95070" w:rsidP="00D95070">
      <w:pPr>
        <w:overflowPunct w:val="0"/>
        <w:autoSpaceDE w:val="0"/>
        <w:autoSpaceDN w:val="0"/>
        <w:adjustRightInd w:val="0"/>
        <w:ind w:left="852"/>
        <w:textAlignment w:val="baseline"/>
        <w:rPr>
          <w:rFonts w:eastAsia="Times New Roman"/>
          <w:lang w:eastAsia="ja-JP"/>
        </w:rPr>
      </w:pPr>
      <w:r w:rsidRPr="00615142">
        <w:rPr>
          <w:rFonts w:eastAsia="Times New Roman"/>
          <w:lang w:eastAsia="ja-JP"/>
        </w:rPr>
        <w:t>[…]</w:t>
      </w:r>
    </w:p>
    <w:p w14:paraId="66D239B2" w14:textId="13568322" w:rsidR="00615142" w:rsidRPr="00615142" w:rsidRDefault="00615142" w:rsidP="00615142">
      <w:pPr>
        <w:keepNext/>
        <w:keepLines/>
        <w:overflowPunct w:val="0"/>
        <w:autoSpaceDE w:val="0"/>
        <w:autoSpaceDN w:val="0"/>
        <w:adjustRightInd w:val="0"/>
        <w:spacing w:before="120"/>
        <w:ind w:left="852"/>
        <w:textAlignment w:val="baseline"/>
        <w:outlineLvl w:val="3"/>
        <w:rPr>
          <w:rFonts w:ascii="Arial" w:eastAsia="Times New Roman" w:hAnsi="Arial"/>
          <w:szCs w:val="16"/>
          <w:lang w:eastAsia="ja-JP"/>
        </w:rPr>
      </w:pPr>
      <w:r w:rsidRPr="00615142">
        <w:rPr>
          <w:rFonts w:ascii="Arial" w:eastAsia="Times New Roman" w:hAnsi="Arial"/>
          <w:sz w:val="24"/>
          <w:lang w:eastAsia="ja-JP"/>
        </w:rPr>
        <w:t>–</w:t>
      </w:r>
      <w:r w:rsidRPr="00615142">
        <w:rPr>
          <w:rFonts w:ascii="Arial" w:eastAsia="Times New Roman" w:hAnsi="Arial"/>
          <w:szCs w:val="16"/>
          <w:lang w:eastAsia="ja-JP"/>
        </w:rPr>
        <w:tab/>
      </w:r>
      <w:r w:rsidRPr="00615142">
        <w:rPr>
          <w:rFonts w:ascii="Arial" w:eastAsia="Times New Roman" w:hAnsi="Arial"/>
          <w:i/>
          <w:szCs w:val="16"/>
          <w:lang w:eastAsia="ja-JP"/>
        </w:rPr>
        <w:t>TCI-State</w:t>
      </w:r>
    </w:p>
    <w:p w14:paraId="29FC5235" w14:textId="77777777" w:rsidR="00615142" w:rsidRPr="00615142" w:rsidRDefault="00615142" w:rsidP="00615142">
      <w:pPr>
        <w:overflowPunct w:val="0"/>
        <w:autoSpaceDE w:val="0"/>
        <w:autoSpaceDN w:val="0"/>
        <w:adjustRightInd w:val="0"/>
        <w:ind w:left="852"/>
        <w:textAlignment w:val="baseline"/>
        <w:rPr>
          <w:rFonts w:eastAsia="Times New Roman"/>
          <w:sz w:val="16"/>
          <w:szCs w:val="16"/>
          <w:lang w:eastAsia="ja-JP"/>
        </w:rPr>
      </w:pPr>
      <w:r w:rsidRPr="00615142">
        <w:rPr>
          <w:rFonts w:eastAsia="Times New Roman"/>
          <w:sz w:val="16"/>
          <w:szCs w:val="16"/>
          <w:lang w:eastAsia="ja-JP"/>
        </w:rPr>
        <w:t xml:space="preserve">The IE </w:t>
      </w:r>
      <w:r w:rsidRPr="00615142">
        <w:rPr>
          <w:rFonts w:eastAsia="Times New Roman"/>
          <w:i/>
          <w:sz w:val="16"/>
          <w:szCs w:val="16"/>
          <w:lang w:eastAsia="ja-JP"/>
        </w:rPr>
        <w:t>TCI-State</w:t>
      </w:r>
      <w:r w:rsidRPr="00615142">
        <w:rPr>
          <w:rFonts w:eastAsia="Times New Roman"/>
          <w:sz w:val="16"/>
          <w:szCs w:val="16"/>
          <w:lang w:eastAsia="ja-JP"/>
        </w:rPr>
        <w:t xml:space="preserve"> associates one or two DL reference signals with a corresponding quasi-colocation (QCL) type.</w:t>
      </w:r>
    </w:p>
    <w:p w14:paraId="4FEA8E59" w14:textId="77777777" w:rsidR="00615142" w:rsidRPr="00615142" w:rsidRDefault="00615142" w:rsidP="00615142">
      <w:pPr>
        <w:keepNext/>
        <w:keepLines/>
        <w:overflowPunct w:val="0"/>
        <w:autoSpaceDE w:val="0"/>
        <w:autoSpaceDN w:val="0"/>
        <w:adjustRightInd w:val="0"/>
        <w:spacing w:before="60"/>
        <w:ind w:left="852"/>
        <w:jc w:val="center"/>
        <w:textAlignment w:val="baseline"/>
        <w:rPr>
          <w:rFonts w:ascii="Arial" w:eastAsia="Times New Roman" w:hAnsi="Arial"/>
          <w:b/>
          <w:sz w:val="16"/>
          <w:szCs w:val="16"/>
          <w:lang w:eastAsia="ja-JP"/>
        </w:rPr>
      </w:pPr>
      <w:r w:rsidRPr="00615142">
        <w:rPr>
          <w:rFonts w:ascii="Arial" w:eastAsia="Times New Roman" w:hAnsi="Arial"/>
          <w:b/>
          <w:i/>
          <w:sz w:val="16"/>
          <w:szCs w:val="16"/>
          <w:lang w:eastAsia="ja-JP"/>
        </w:rPr>
        <w:t>TCI-State</w:t>
      </w:r>
      <w:r w:rsidRPr="00615142">
        <w:rPr>
          <w:rFonts w:ascii="Arial" w:eastAsia="Times New Roman" w:hAnsi="Arial"/>
          <w:b/>
          <w:sz w:val="16"/>
          <w:szCs w:val="16"/>
          <w:lang w:eastAsia="ja-JP"/>
        </w:rPr>
        <w:t xml:space="preserve"> information element</w:t>
      </w:r>
    </w:p>
    <w:p w14:paraId="7463D707"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ASN1START</w:t>
      </w:r>
    </w:p>
    <w:p w14:paraId="353D1A8F"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TAG-TCI-STATE-START</w:t>
      </w:r>
    </w:p>
    <w:p w14:paraId="0430B2E6"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5B4BD7F4"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TCI-State ::=                       SEQUENCE {</w:t>
      </w:r>
    </w:p>
    <w:p w14:paraId="07A8808A"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tci-StateId                         TCI-StateId,</w:t>
      </w:r>
    </w:p>
    <w:p w14:paraId="6657D9E4"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lastRenderedPageBreak/>
        <w:t xml:space="preserve">    qcl-Type1                           QCL-Info,</w:t>
      </w:r>
    </w:p>
    <w:p w14:paraId="534EDCAA" w14:textId="651B1335"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qcl-Type2                           QCL-Info                                      </w:t>
      </w:r>
      <w:r w:rsidR="00D95070">
        <w:rPr>
          <w:rFonts w:ascii="Courier New" w:eastAsia="Times New Roman" w:hAnsi="Courier New"/>
          <w:noProof/>
          <w:sz w:val="12"/>
          <w:szCs w:val="16"/>
          <w:lang w:eastAsia="en-GB"/>
        </w:rPr>
        <w:t xml:space="preserve"> </w:t>
      </w:r>
      <w:r w:rsidRPr="00615142">
        <w:rPr>
          <w:rFonts w:ascii="Courier New" w:eastAsia="Times New Roman" w:hAnsi="Courier New"/>
          <w:noProof/>
          <w:sz w:val="12"/>
          <w:szCs w:val="16"/>
          <w:lang w:eastAsia="en-GB"/>
        </w:rPr>
        <w:t>OPTIONAL, -- Need R</w:t>
      </w:r>
    </w:p>
    <w:p w14:paraId="1374419F"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w:t>
      </w:r>
    </w:p>
    <w:p w14:paraId="6E063EC2"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w:t>
      </w:r>
    </w:p>
    <w:p w14:paraId="00A29C0E"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7949770F"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QCL-Info ::=                        SEQUENCE {</w:t>
      </w:r>
    </w:p>
    <w:p w14:paraId="12698093" w14:textId="1986B52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cell                                ServCellIndex                                  </w:t>
      </w:r>
      <w:r w:rsidR="00D95070">
        <w:rPr>
          <w:rFonts w:ascii="Courier New" w:eastAsia="Times New Roman" w:hAnsi="Courier New"/>
          <w:noProof/>
          <w:sz w:val="12"/>
          <w:szCs w:val="16"/>
          <w:lang w:eastAsia="en-GB"/>
        </w:rPr>
        <w:t>O</w:t>
      </w:r>
      <w:r w:rsidRPr="00615142">
        <w:rPr>
          <w:rFonts w:ascii="Courier New" w:eastAsia="Times New Roman" w:hAnsi="Courier New"/>
          <w:noProof/>
          <w:sz w:val="12"/>
          <w:szCs w:val="16"/>
          <w:lang w:eastAsia="en-GB"/>
        </w:rPr>
        <w:t>PTIONAL, -- Need R</w:t>
      </w:r>
    </w:p>
    <w:p w14:paraId="74764BA9" w14:textId="663EF51A"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bwp-Id                              BWP-Id                                         OPTIONAL, -- Cond CSI-RS-Indicated</w:t>
      </w:r>
    </w:p>
    <w:p w14:paraId="79417E70"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referenceSignal                     CHOICE {</w:t>
      </w:r>
    </w:p>
    <w:p w14:paraId="609C8C31"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csi-rs                              NZP-CSI-RS-ResourceId,</w:t>
      </w:r>
    </w:p>
    <w:p w14:paraId="70BB173A"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w:t>
      </w:r>
      <w:r w:rsidRPr="00615142">
        <w:rPr>
          <w:rFonts w:ascii="Courier New" w:eastAsia="Times New Roman" w:hAnsi="Courier New"/>
          <w:noProof/>
          <w:sz w:val="12"/>
          <w:szCs w:val="16"/>
          <w:highlight w:val="cyan"/>
          <w:lang w:eastAsia="en-GB"/>
        </w:rPr>
        <w:t>ssb                                 SSB-Index</w:t>
      </w:r>
    </w:p>
    <w:p w14:paraId="54770DB2"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w:t>
      </w:r>
    </w:p>
    <w:p w14:paraId="765548CB"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qcl-Type                            ENUMERATED {typeA, typeB, typeC, typeD},</w:t>
      </w:r>
    </w:p>
    <w:p w14:paraId="40D67980"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xml:space="preserve">    ...</w:t>
      </w:r>
    </w:p>
    <w:p w14:paraId="7EFFF0BF"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w:t>
      </w:r>
    </w:p>
    <w:p w14:paraId="3BC3DA01"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638F33B3"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TAG-TCI-STATE-STOP</w:t>
      </w:r>
    </w:p>
    <w:p w14:paraId="07BF43FB"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ASN1STOP</w:t>
      </w:r>
    </w:p>
    <w:p w14:paraId="2F4B8AA3" w14:textId="2B7452C2" w:rsidR="00615142" w:rsidRPr="00615142" w:rsidRDefault="00615142" w:rsidP="00615142">
      <w:pPr>
        <w:overflowPunct w:val="0"/>
        <w:autoSpaceDE w:val="0"/>
        <w:autoSpaceDN w:val="0"/>
        <w:adjustRightInd w:val="0"/>
        <w:ind w:left="852"/>
        <w:textAlignment w:val="baseline"/>
        <w:rPr>
          <w:rFonts w:eastAsia="Times New Roman"/>
          <w:lang w:eastAsia="ja-JP"/>
        </w:rPr>
      </w:pPr>
      <w:r w:rsidRPr="00615142">
        <w:rPr>
          <w:rFonts w:eastAsia="Times New Roman"/>
          <w:lang w:eastAsia="ja-JP"/>
        </w:rPr>
        <w:t>[…]</w:t>
      </w:r>
    </w:p>
    <w:p w14:paraId="001260E4" w14:textId="77777777" w:rsidR="00615142" w:rsidRPr="00615142" w:rsidRDefault="00615142" w:rsidP="00615142">
      <w:pPr>
        <w:keepNext/>
        <w:keepLines/>
        <w:overflowPunct w:val="0"/>
        <w:autoSpaceDE w:val="0"/>
        <w:autoSpaceDN w:val="0"/>
        <w:adjustRightInd w:val="0"/>
        <w:spacing w:before="120"/>
        <w:ind w:left="852"/>
        <w:textAlignment w:val="baseline"/>
        <w:outlineLvl w:val="3"/>
        <w:rPr>
          <w:rFonts w:ascii="Arial" w:eastAsia="Times New Roman" w:hAnsi="Arial"/>
          <w:szCs w:val="16"/>
          <w:lang w:eastAsia="ja-JP"/>
        </w:rPr>
      </w:pPr>
      <w:bookmarkStart w:id="43" w:name="_Toc20426128"/>
      <w:bookmarkStart w:id="44" w:name="_Toc29321524"/>
      <w:bookmarkStart w:id="45" w:name="_Toc36757313"/>
      <w:bookmarkStart w:id="46" w:name="_Toc36836854"/>
      <w:bookmarkStart w:id="47" w:name="_Toc36843831"/>
      <w:bookmarkStart w:id="48" w:name="_Toc37068120"/>
      <w:r w:rsidRPr="00615142">
        <w:rPr>
          <w:rFonts w:ascii="Arial" w:eastAsia="Times New Roman" w:hAnsi="Arial"/>
          <w:szCs w:val="16"/>
          <w:lang w:eastAsia="ja-JP"/>
        </w:rPr>
        <w:t>–</w:t>
      </w:r>
      <w:r w:rsidRPr="00615142">
        <w:rPr>
          <w:rFonts w:ascii="Arial" w:eastAsia="Times New Roman" w:hAnsi="Arial"/>
          <w:szCs w:val="16"/>
          <w:lang w:eastAsia="ja-JP"/>
        </w:rPr>
        <w:tab/>
      </w:r>
      <w:r w:rsidRPr="00615142">
        <w:rPr>
          <w:rFonts w:ascii="Arial" w:eastAsia="Times New Roman" w:hAnsi="Arial"/>
          <w:i/>
          <w:szCs w:val="16"/>
          <w:lang w:eastAsia="ja-JP"/>
        </w:rPr>
        <w:t>TCI-StateId</w:t>
      </w:r>
      <w:bookmarkEnd w:id="43"/>
      <w:bookmarkEnd w:id="44"/>
      <w:bookmarkEnd w:id="45"/>
      <w:bookmarkEnd w:id="46"/>
      <w:bookmarkEnd w:id="47"/>
      <w:bookmarkEnd w:id="48"/>
    </w:p>
    <w:p w14:paraId="5C1BBDDA" w14:textId="77777777" w:rsidR="00615142" w:rsidRPr="00615142" w:rsidRDefault="00615142" w:rsidP="00615142">
      <w:pPr>
        <w:overflowPunct w:val="0"/>
        <w:autoSpaceDE w:val="0"/>
        <w:autoSpaceDN w:val="0"/>
        <w:adjustRightInd w:val="0"/>
        <w:ind w:left="852"/>
        <w:textAlignment w:val="baseline"/>
        <w:rPr>
          <w:rFonts w:eastAsia="Times New Roman"/>
          <w:sz w:val="16"/>
          <w:szCs w:val="16"/>
          <w:lang w:eastAsia="ja-JP"/>
        </w:rPr>
      </w:pPr>
      <w:r w:rsidRPr="00615142">
        <w:rPr>
          <w:rFonts w:eastAsia="Times New Roman"/>
          <w:sz w:val="16"/>
          <w:szCs w:val="16"/>
          <w:lang w:eastAsia="ja-JP"/>
        </w:rPr>
        <w:t xml:space="preserve">The IE </w:t>
      </w:r>
      <w:r w:rsidRPr="00615142">
        <w:rPr>
          <w:rFonts w:eastAsia="Times New Roman"/>
          <w:i/>
          <w:sz w:val="16"/>
          <w:szCs w:val="16"/>
          <w:lang w:eastAsia="ja-JP"/>
        </w:rPr>
        <w:t>TCI-StateId</w:t>
      </w:r>
      <w:r w:rsidRPr="00615142">
        <w:rPr>
          <w:rFonts w:eastAsia="Times New Roman"/>
          <w:sz w:val="16"/>
          <w:szCs w:val="16"/>
          <w:lang w:eastAsia="ja-JP"/>
        </w:rPr>
        <w:t xml:space="preserve"> is used to identify one </w:t>
      </w:r>
      <w:r w:rsidRPr="00615142">
        <w:rPr>
          <w:rFonts w:eastAsia="Times New Roman"/>
          <w:i/>
          <w:sz w:val="16"/>
          <w:szCs w:val="16"/>
          <w:lang w:eastAsia="ja-JP"/>
        </w:rPr>
        <w:t>TCI-State</w:t>
      </w:r>
      <w:r w:rsidRPr="00615142">
        <w:rPr>
          <w:rFonts w:eastAsia="Times New Roman"/>
          <w:sz w:val="16"/>
          <w:szCs w:val="16"/>
          <w:lang w:eastAsia="ja-JP"/>
        </w:rPr>
        <w:t xml:space="preserve"> configuration.</w:t>
      </w:r>
    </w:p>
    <w:p w14:paraId="2F4F48C9" w14:textId="77777777" w:rsidR="00615142" w:rsidRPr="00615142" w:rsidRDefault="00615142" w:rsidP="00615142">
      <w:pPr>
        <w:keepNext/>
        <w:keepLines/>
        <w:overflowPunct w:val="0"/>
        <w:autoSpaceDE w:val="0"/>
        <w:autoSpaceDN w:val="0"/>
        <w:adjustRightInd w:val="0"/>
        <w:spacing w:before="60"/>
        <w:ind w:left="852"/>
        <w:jc w:val="center"/>
        <w:textAlignment w:val="baseline"/>
        <w:rPr>
          <w:rFonts w:ascii="Arial" w:eastAsia="Times New Roman" w:hAnsi="Arial"/>
          <w:b/>
          <w:sz w:val="16"/>
          <w:szCs w:val="16"/>
          <w:lang w:eastAsia="ja-JP"/>
        </w:rPr>
      </w:pPr>
      <w:r w:rsidRPr="00615142">
        <w:rPr>
          <w:rFonts w:ascii="Arial" w:eastAsia="Times New Roman" w:hAnsi="Arial"/>
          <w:b/>
          <w:i/>
          <w:sz w:val="16"/>
          <w:szCs w:val="16"/>
          <w:lang w:eastAsia="ja-JP"/>
        </w:rPr>
        <w:t>TCI-StateId</w:t>
      </w:r>
      <w:r w:rsidRPr="00615142">
        <w:rPr>
          <w:rFonts w:ascii="Arial" w:eastAsia="Times New Roman" w:hAnsi="Arial"/>
          <w:b/>
          <w:sz w:val="16"/>
          <w:szCs w:val="16"/>
          <w:lang w:eastAsia="ja-JP"/>
        </w:rPr>
        <w:t xml:space="preserve"> information element</w:t>
      </w:r>
    </w:p>
    <w:p w14:paraId="0FA8206A"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ASN1START</w:t>
      </w:r>
    </w:p>
    <w:p w14:paraId="3FF02A5F"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TAG-TCI-STATEID-START</w:t>
      </w:r>
    </w:p>
    <w:p w14:paraId="7B964A43"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4FABDEAE"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highlight w:val="cyan"/>
          <w:lang w:eastAsia="en-GB"/>
        </w:rPr>
        <w:t>TCI-StateId ::=                     INTEGER (0..maxNrofTCI-States-1)</w:t>
      </w:r>
    </w:p>
    <w:p w14:paraId="0F8A9A3F"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p>
    <w:p w14:paraId="534C1EFA"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TAG-TCI-STATEID-STOP</w:t>
      </w:r>
    </w:p>
    <w:p w14:paraId="2A4D5096" w14:textId="77777777" w:rsidR="00615142" w:rsidRPr="00615142" w:rsidRDefault="00615142" w:rsidP="00615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textAlignment w:val="baseline"/>
        <w:rPr>
          <w:rFonts w:ascii="Courier New" w:eastAsia="Times New Roman" w:hAnsi="Courier New"/>
          <w:noProof/>
          <w:sz w:val="12"/>
          <w:szCs w:val="16"/>
          <w:lang w:eastAsia="en-GB"/>
        </w:rPr>
      </w:pPr>
      <w:r w:rsidRPr="00615142">
        <w:rPr>
          <w:rFonts w:ascii="Courier New" w:eastAsia="Times New Roman" w:hAnsi="Courier New"/>
          <w:noProof/>
          <w:sz w:val="12"/>
          <w:szCs w:val="16"/>
          <w:lang w:eastAsia="en-GB"/>
        </w:rPr>
        <w:t>-- ASN1STOP</w:t>
      </w:r>
    </w:p>
    <w:p w14:paraId="5EF23654" w14:textId="77777777" w:rsidR="00615142" w:rsidRPr="00615142" w:rsidRDefault="00615142" w:rsidP="00615142">
      <w:pPr>
        <w:overflowPunct w:val="0"/>
        <w:autoSpaceDE w:val="0"/>
        <w:autoSpaceDN w:val="0"/>
        <w:adjustRightInd w:val="0"/>
        <w:ind w:left="852"/>
        <w:textAlignment w:val="baseline"/>
        <w:rPr>
          <w:rFonts w:eastAsia="Times New Roman"/>
          <w:lang w:eastAsia="ja-JP"/>
        </w:rPr>
      </w:pPr>
      <w:r w:rsidRPr="00615142">
        <w:rPr>
          <w:rFonts w:eastAsia="Times New Roman"/>
          <w:lang w:eastAsia="ja-JP"/>
        </w:rPr>
        <w:t>[…]</w:t>
      </w:r>
    </w:p>
    <w:p w14:paraId="73195651" w14:textId="77777777" w:rsidR="00615142" w:rsidRPr="00615142" w:rsidRDefault="00615142" w:rsidP="00615142">
      <w:pPr>
        <w:overflowPunct w:val="0"/>
        <w:autoSpaceDE w:val="0"/>
        <w:autoSpaceDN w:val="0"/>
        <w:adjustRightInd w:val="0"/>
        <w:ind w:left="852"/>
        <w:textAlignment w:val="baseline"/>
        <w:rPr>
          <w:rFonts w:eastAsia="Times New Roman"/>
          <w:sz w:val="16"/>
          <w:szCs w:val="16"/>
          <w:lang w:eastAsia="ja-JP"/>
        </w:rPr>
      </w:pPr>
    </w:p>
    <w:p w14:paraId="1B7468FA" w14:textId="64A42891" w:rsidR="00D95070" w:rsidRDefault="00D95070" w:rsidP="00D95070">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5</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 xml:space="preserve">Mapping between TCI state and associated SSB index for </w:t>
      </w:r>
      <w:r w:rsidR="00FC4584">
        <w:rPr>
          <w:rFonts w:asciiTheme="minorHAnsi" w:hAnsiTheme="minorHAnsi" w:cstheme="minorHAnsi"/>
          <w:color w:val="1F497D" w:themeColor="text2"/>
          <w:sz w:val="22"/>
        </w:rPr>
        <w:t xml:space="preserve">PDCCH </w:t>
      </w:r>
      <w:r>
        <w:rPr>
          <w:rFonts w:asciiTheme="minorHAnsi" w:hAnsiTheme="minorHAnsi" w:cstheme="minorHAnsi"/>
          <w:color w:val="1F497D" w:themeColor="text2"/>
          <w:sz w:val="22"/>
        </w:rPr>
        <w:t>is known beforehand via RRC signalling e.g. at SCell addition. There may be multiple TCI states (38.331 clause 6.3.2)</w:t>
      </w:r>
    </w:p>
    <w:p w14:paraId="052B65C0" w14:textId="77777777" w:rsidR="00D95070" w:rsidRDefault="00D95070" w:rsidP="00D95070">
      <w:pPr>
        <w:spacing w:after="0"/>
        <w:ind w:left="1418" w:hanging="1418"/>
        <w:rPr>
          <w:rFonts w:asciiTheme="minorHAnsi" w:hAnsiTheme="minorHAnsi" w:cstheme="minorHAnsi"/>
          <w:color w:val="1F497D" w:themeColor="text2"/>
          <w:sz w:val="22"/>
        </w:rPr>
      </w:pPr>
    </w:p>
    <w:p w14:paraId="380653F1" w14:textId="7345448A" w:rsidR="00783CC3" w:rsidRPr="00FC4584" w:rsidRDefault="00FC4584" w:rsidP="00FC4584">
      <w:pPr>
        <w:spacing w:after="0"/>
        <w:rPr>
          <w:rFonts w:asciiTheme="minorHAnsi" w:hAnsiTheme="minorHAnsi" w:cstheme="minorHAnsi"/>
          <w:sz w:val="22"/>
        </w:rPr>
      </w:pPr>
      <w:r>
        <w:rPr>
          <w:rFonts w:asciiTheme="minorHAnsi" w:hAnsiTheme="minorHAnsi" w:cstheme="minorHAnsi"/>
          <w:sz w:val="22"/>
        </w:rPr>
        <w:t xml:space="preserve">The exit criterion for the SCell activation according to the MAC specification TS 38.321 includes that the UE is monitoring PDCCH on the SCell. For the UE to know which TCI state to use </w:t>
      </w:r>
      <w:r w:rsidR="003B3751">
        <w:rPr>
          <w:rFonts w:asciiTheme="minorHAnsi" w:hAnsiTheme="minorHAnsi" w:cstheme="minorHAnsi"/>
          <w:sz w:val="22"/>
        </w:rPr>
        <w:t xml:space="preserve">when monitoring PDCCH, a TCI state indication from the network is needed. TS 38.321 describes how this indication is provided to the UE: </w:t>
      </w:r>
    </w:p>
    <w:p w14:paraId="557A57C0" w14:textId="77777777" w:rsidR="00783CC3" w:rsidRDefault="00783CC3" w:rsidP="003B3751">
      <w:pPr>
        <w:spacing w:after="0"/>
        <w:rPr>
          <w:rFonts w:asciiTheme="minorHAnsi" w:hAnsiTheme="minorHAnsi" w:cstheme="minorHAnsi"/>
          <w:color w:val="1F497D" w:themeColor="text2"/>
          <w:sz w:val="22"/>
        </w:rPr>
      </w:pPr>
    </w:p>
    <w:p w14:paraId="52F70FAC" w14:textId="77777777" w:rsidR="00783CC3" w:rsidRPr="00783CC3" w:rsidRDefault="00783CC3" w:rsidP="00783CC3">
      <w:pPr>
        <w:keepNext/>
        <w:keepLines/>
        <w:overflowPunct w:val="0"/>
        <w:autoSpaceDE w:val="0"/>
        <w:autoSpaceDN w:val="0"/>
        <w:adjustRightInd w:val="0"/>
        <w:spacing w:before="120"/>
        <w:ind w:left="852"/>
        <w:textAlignment w:val="baseline"/>
        <w:outlineLvl w:val="2"/>
        <w:rPr>
          <w:rFonts w:ascii="Arial" w:eastAsia="Times New Roman" w:hAnsi="Arial"/>
          <w:sz w:val="24"/>
          <w:szCs w:val="18"/>
          <w:lang w:eastAsia="ko-KR"/>
        </w:rPr>
      </w:pPr>
      <w:bookmarkStart w:id="49" w:name="_Toc29239867"/>
      <w:bookmarkStart w:id="50" w:name="_Toc37296229"/>
      <w:r w:rsidRPr="00783CC3">
        <w:rPr>
          <w:rFonts w:ascii="Arial" w:eastAsia="Times New Roman" w:hAnsi="Arial"/>
          <w:sz w:val="24"/>
          <w:szCs w:val="18"/>
          <w:lang w:eastAsia="ko-KR"/>
        </w:rPr>
        <w:t>5.18.5</w:t>
      </w:r>
      <w:r w:rsidRPr="00783CC3">
        <w:rPr>
          <w:rFonts w:ascii="Arial" w:eastAsia="Times New Roman" w:hAnsi="Arial"/>
          <w:sz w:val="24"/>
          <w:szCs w:val="18"/>
          <w:lang w:eastAsia="ko-KR"/>
        </w:rPr>
        <w:tab/>
        <w:t>Indication of TCI state for UE-specific PDCCH</w:t>
      </w:r>
      <w:bookmarkEnd w:id="49"/>
      <w:bookmarkEnd w:id="50"/>
    </w:p>
    <w:p w14:paraId="6B21150B" w14:textId="77777777" w:rsidR="00783CC3" w:rsidRPr="00783CC3" w:rsidRDefault="00783CC3" w:rsidP="00783CC3">
      <w:pPr>
        <w:overflowPunct w:val="0"/>
        <w:autoSpaceDE w:val="0"/>
        <w:autoSpaceDN w:val="0"/>
        <w:adjustRightInd w:val="0"/>
        <w:ind w:left="852"/>
        <w:textAlignment w:val="baseline"/>
        <w:rPr>
          <w:rFonts w:eastAsia="Times New Roman"/>
          <w:sz w:val="18"/>
          <w:szCs w:val="18"/>
          <w:lang w:eastAsia="ko-KR"/>
        </w:rPr>
      </w:pPr>
      <w:r w:rsidRPr="00783CC3">
        <w:rPr>
          <w:rFonts w:eastAsia="Times New Roman"/>
          <w:sz w:val="18"/>
          <w:szCs w:val="18"/>
          <w:highlight w:val="cyan"/>
          <w:lang w:eastAsia="ko-KR"/>
        </w:rPr>
        <w:t xml:space="preserve">The network may indicate a TCI state for PDCCH reception for a CORESET of a Serving Cell </w:t>
      </w:r>
      <w:r w:rsidRPr="00783CC3">
        <w:rPr>
          <w:rFonts w:eastAsia="Malgun Gothic"/>
          <w:sz w:val="18"/>
          <w:szCs w:val="18"/>
          <w:highlight w:val="cyan"/>
          <w:lang w:eastAsia="ko-KR"/>
        </w:rPr>
        <w:t xml:space="preserve">or a CC list </w:t>
      </w:r>
      <w:r w:rsidRPr="00783CC3">
        <w:rPr>
          <w:rFonts w:eastAsia="Times New Roman"/>
          <w:sz w:val="18"/>
          <w:szCs w:val="18"/>
          <w:highlight w:val="cyan"/>
          <w:lang w:eastAsia="ko-KR"/>
        </w:rPr>
        <w:t>by sending the TCI State Indication for UE-specific PDCCH MAC CE described in clause 6.1.3.15</w:t>
      </w:r>
      <w:r w:rsidRPr="00783CC3">
        <w:rPr>
          <w:rFonts w:eastAsia="Times New Roman"/>
          <w:sz w:val="18"/>
          <w:szCs w:val="18"/>
          <w:lang w:eastAsia="ko-KR"/>
        </w:rPr>
        <w:t>.</w:t>
      </w:r>
    </w:p>
    <w:p w14:paraId="6F3145D9" w14:textId="77777777" w:rsidR="00783CC3" w:rsidRPr="00783CC3" w:rsidRDefault="00783CC3" w:rsidP="00783CC3">
      <w:pPr>
        <w:overflowPunct w:val="0"/>
        <w:autoSpaceDE w:val="0"/>
        <w:autoSpaceDN w:val="0"/>
        <w:adjustRightInd w:val="0"/>
        <w:ind w:left="852"/>
        <w:textAlignment w:val="baseline"/>
        <w:rPr>
          <w:rFonts w:eastAsia="Times New Roman"/>
          <w:sz w:val="18"/>
          <w:szCs w:val="18"/>
          <w:lang w:eastAsia="ko-KR"/>
        </w:rPr>
      </w:pPr>
      <w:r w:rsidRPr="00783CC3">
        <w:rPr>
          <w:rFonts w:eastAsia="Times New Roman"/>
          <w:sz w:val="18"/>
          <w:szCs w:val="18"/>
          <w:lang w:eastAsia="ko-KR"/>
        </w:rPr>
        <w:t>The MAC entity shall:</w:t>
      </w:r>
    </w:p>
    <w:p w14:paraId="5051839A" w14:textId="77777777" w:rsidR="00783CC3" w:rsidRPr="00783CC3" w:rsidRDefault="00783CC3" w:rsidP="00783CC3">
      <w:pPr>
        <w:overflowPunct w:val="0"/>
        <w:autoSpaceDE w:val="0"/>
        <w:autoSpaceDN w:val="0"/>
        <w:adjustRightInd w:val="0"/>
        <w:ind w:left="1420" w:hanging="284"/>
        <w:textAlignment w:val="baseline"/>
        <w:rPr>
          <w:rFonts w:eastAsia="Times New Roman"/>
          <w:sz w:val="18"/>
          <w:szCs w:val="18"/>
          <w:lang w:eastAsia="ja-JP"/>
        </w:rPr>
      </w:pPr>
      <w:r w:rsidRPr="00783CC3">
        <w:rPr>
          <w:rFonts w:eastAsia="Times New Roman"/>
          <w:sz w:val="18"/>
          <w:szCs w:val="18"/>
          <w:lang w:eastAsia="ja-JP"/>
        </w:rPr>
        <w:t>1&gt;</w:t>
      </w:r>
      <w:r w:rsidRPr="00783CC3">
        <w:rPr>
          <w:rFonts w:eastAsia="Times New Roman"/>
          <w:sz w:val="18"/>
          <w:szCs w:val="18"/>
          <w:lang w:eastAsia="ja-JP"/>
        </w:rPr>
        <w:tab/>
        <w:t xml:space="preserve">if the </w:t>
      </w:r>
      <w:r w:rsidRPr="00783CC3">
        <w:rPr>
          <w:rFonts w:eastAsia="Times New Roman"/>
          <w:noProof/>
          <w:sz w:val="18"/>
          <w:szCs w:val="18"/>
          <w:lang w:eastAsia="zh-CN"/>
        </w:rPr>
        <w:t>MAC entity</w:t>
      </w:r>
      <w:r w:rsidRPr="00783CC3">
        <w:rPr>
          <w:rFonts w:eastAsia="Times New Roman"/>
          <w:sz w:val="18"/>
          <w:szCs w:val="18"/>
          <w:lang w:eastAsia="ja-JP"/>
        </w:rPr>
        <w:t xml:space="preserve"> receives a </w:t>
      </w:r>
      <w:r w:rsidRPr="00783CC3">
        <w:rPr>
          <w:rFonts w:eastAsia="Times New Roman"/>
          <w:sz w:val="18"/>
          <w:szCs w:val="18"/>
          <w:lang w:eastAsia="ko-KR"/>
        </w:rPr>
        <w:t>TCI State Indication for UE-specific PDCCH</w:t>
      </w:r>
      <w:r w:rsidRPr="00783CC3">
        <w:rPr>
          <w:rFonts w:eastAsia="Times New Roman"/>
          <w:sz w:val="18"/>
          <w:szCs w:val="18"/>
          <w:lang w:eastAsia="ja-JP"/>
        </w:rPr>
        <w:t xml:space="preserve"> MAC CE </w:t>
      </w:r>
      <w:r w:rsidRPr="00783CC3">
        <w:rPr>
          <w:rFonts w:eastAsia="Times New Roman"/>
          <w:sz w:val="18"/>
          <w:szCs w:val="18"/>
          <w:lang w:eastAsia="ko-KR"/>
        </w:rPr>
        <w:t>on a Serving Cell</w:t>
      </w:r>
      <w:r w:rsidRPr="00783CC3">
        <w:rPr>
          <w:rFonts w:eastAsia="Times New Roman"/>
          <w:sz w:val="18"/>
          <w:szCs w:val="18"/>
          <w:lang w:eastAsia="ja-JP"/>
        </w:rPr>
        <w:t>:</w:t>
      </w:r>
    </w:p>
    <w:p w14:paraId="623288D4" w14:textId="77777777" w:rsidR="00783CC3" w:rsidRPr="00783CC3" w:rsidRDefault="00783CC3" w:rsidP="00783CC3">
      <w:pPr>
        <w:overflowPunct w:val="0"/>
        <w:autoSpaceDE w:val="0"/>
        <w:autoSpaceDN w:val="0"/>
        <w:adjustRightInd w:val="0"/>
        <w:ind w:left="1703" w:hanging="284"/>
        <w:textAlignment w:val="baseline"/>
        <w:rPr>
          <w:rFonts w:eastAsia="Times New Roman"/>
          <w:sz w:val="18"/>
          <w:szCs w:val="18"/>
          <w:lang w:eastAsia="ja-JP"/>
        </w:rPr>
      </w:pPr>
      <w:r w:rsidRPr="00783CC3">
        <w:rPr>
          <w:rFonts w:eastAsia="Times New Roman"/>
          <w:sz w:val="18"/>
          <w:szCs w:val="18"/>
          <w:lang w:eastAsia="ja-JP"/>
        </w:rPr>
        <w:t>2&gt;</w:t>
      </w:r>
      <w:r w:rsidRPr="00783CC3">
        <w:rPr>
          <w:rFonts w:eastAsia="Times New Roman"/>
          <w:sz w:val="18"/>
          <w:szCs w:val="18"/>
          <w:lang w:eastAsia="ja-JP"/>
        </w:rPr>
        <w:tab/>
        <w:t>indicate to lower layers the information regarding the TCI State Indication for UE-specific PDCCH MAC CE.</w:t>
      </w:r>
    </w:p>
    <w:p w14:paraId="10CEF373" w14:textId="70539FE7" w:rsidR="00783CC3" w:rsidRPr="00A125CD" w:rsidRDefault="00A125CD" w:rsidP="00A125CD">
      <w:pPr>
        <w:spacing w:after="0"/>
        <w:ind w:left="1418" w:hanging="566"/>
        <w:rPr>
          <w:szCs w:val="18"/>
        </w:rPr>
      </w:pPr>
      <w:r w:rsidRPr="00A125CD">
        <w:rPr>
          <w:szCs w:val="18"/>
        </w:rPr>
        <w:t>[…]</w:t>
      </w:r>
    </w:p>
    <w:p w14:paraId="62EF3E82" w14:textId="77777777" w:rsidR="00A125CD" w:rsidRPr="00A125CD" w:rsidRDefault="00A125CD" w:rsidP="00A125CD">
      <w:pPr>
        <w:pStyle w:val="Heading4"/>
        <w:numPr>
          <w:ilvl w:val="0"/>
          <w:numId w:val="0"/>
        </w:numPr>
        <w:ind w:left="1716" w:hanging="864"/>
        <w:rPr>
          <w:sz w:val="22"/>
          <w:szCs w:val="18"/>
          <w:lang w:eastAsia="ko-KR"/>
        </w:rPr>
      </w:pPr>
      <w:bookmarkStart w:id="51" w:name="_Toc29239893"/>
      <w:bookmarkStart w:id="52" w:name="_Toc37296292"/>
      <w:r w:rsidRPr="00A125CD">
        <w:rPr>
          <w:sz w:val="22"/>
          <w:szCs w:val="18"/>
          <w:lang w:eastAsia="ko-KR"/>
        </w:rPr>
        <w:t>6.1.3.15</w:t>
      </w:r>
      <w:r w:rsidRPr="00A125CD">
        <w:rPr>
          <w:sz w:val="22"/>
          <w:szCs w:val="18"/>
          <w:lang w:eastAsia="ko-KR"/>
        </w:rPr>
        <w:tab/>
        <w:t>TCI State Indication for UE-specific PDCCH MAC CE</w:t>
      </w:r>
      <w:bookmarkEnd w:id="51"/>
      <w:bookmarkEnd w:id="52"/>
    </w:p>
    <w:p w14:paraId="0F3DEEC6" w14:textId="77777777" w:rsidR="00A125CD" w:rsidRPr="00A125CD" w:rsidRDefault="00A125CD" w:rsidP="00A125CD">
      <w:pPr>
        <w:ind w:left="852"/>
        <w:rPr>
          <w:sz w:val="18"/>
          <w:szCs w:val="18"/>
          <w:lang w:eastAsia="ko-KR"/>
        </w:rPr>
      </w:pPr>
      <w:r w:rsidRPr="00A125CD">
        <w:rPr>
          <w:sz w:val="18"/>
          <w:szCs w:val="18"/>
          <w:lang w:eastAsia="ko-KR"/>
        </w:rPr>
        <w:t>The TCI State Indication for UE-specific PDCCH MAC CE is identified by a MAC subheader with LCID as specified in Table 6.2.1-1. It has a fixed size of 16 bits with following fields:</w:t>
      </w:r>
    </w:p>
    <w:p w14:paraId="55FDEAD5" w14:textId="77777777" w:rsidR="00A125CD" w:rsidRPr="00A125CD" w:rsidRDefault="00A125CD" w:rsidP="00A125CD">
      <w:pPr>
        <w:pStyle w:val="B1"/>
        <w:ind w:left="1420"/>
        <w:rPr>
          <w:rFonts w:ascii="Times New Roman" w:hAnsi="Times New Roman"/>
          <w:noProof/>
          <w:sz w:val="18"/>
          <w:szCs w:val="18"/>
          <w:lang w:eastAsia="zh-CN"/>
        </w:rPr>
      </w:pPr>
      <w:r w:rsidRPr="00A125CD">
        <w:rPr>
          <w:noProof/>
          <w:sz w:val="18"/>
          <w:szCs w:val="18"/>
        </w:rPr>
        <w:t>-</w:t>
      </w:r>
      <w:r w:rsidRPr="00A125CD">
        <w:rPr>
          <w:noProof/>
          <w:sz w:val="18"/>
          <w:szCs w:val="18"/>
        </w:rPr>
        <w:tab/>
      </w:r>
      <w:r w:rsidRPr="00A125CD">
        <w:rPr>
          <w:rFonts w:ascii="Times New Roman" w:hAnsi="Times New Roman"/>
          <w:noProof/>
          <w:sz w:val="18"/>
          <w:szCs w:val="18"/>
        </w:rPr>
        <w:t xml:space="preserve">Serving Cell ID: </w:t>
      </w:r>
      <w:r w:rsidRPr="00A125CD">
        <w:rPr>
          <w:rFonts w:ascii="Times New Roman" w:hAnsi="Times New Roman"/>
          <w:noProof/>
          <w:sz w:val="18"/>
          <w:szCs w:val="18"/>
          <w:lang w:eastAsia="zh-CN"/>
        </w:rPr>
        <w:t>This field indicates the identity of the Serving Cell for which the MAC CE applies. The length of the field is 5 bits</w:t>
      </w:r>
      <w:r w:rsidRPr="00A125CD">
        <w:rPr>
          <w:rFonts w:ascii="Times New Roman" w:hAnsi="Times New Roman"/>
          <w:noProof/>
          <w:sz w:val="18"/>
          <w:szCs w:val="18"/>
        </w:rPr>
        <w:t xml:space="preserve">. If the indicated serving cell is configured as part of a CC-list as specified in </w:t>
      </w:r>
      <w:r w:rsidRPr="00A125CD">
        <w:rPr>
          <w:rFonts w:ascii="Times New Roman" w:hAnsi="Times New Roman"/>
          <w:sz w:val="18"/>
          <w:szCs w:val="18"/>
          <w:lang w:eastAsia="ko-KR"/>
        </w:rPr>
        <w:t>TS 38.331 [5]</w:t>
      </w:r>
      <w:r w:rsidRPr="00A125CD">
        <w:rPr>
          <w:rFonts w:ascii="Times New Roman" w:hAnsi="Times New Roman"/>
          <w:noProof/>
          <w:sz w:val="18"/>
          <w:szCs w:val="18"/>
        </w:rPr>
        <w:t>, this MAC CE applies to all the CCs in the CC list</w:t>
      </w:r>
      <w:r w:rsidRPr="00A125CD">
        <w:rPr>
          <w:rFonts w:ascii="Times New Roman" w:hAnsi="Times New Roman"/>
          <w:noProof/>
          <w:sz w:val="18"/>
          <w:szCs w:val="18"/>
          <w:lang w:eastAsia="zh-CN"/>
        </w:rPr>
        <w:t>;</w:t>
      </w:r>
    </w:p>
    <w:p w14:paraId="0926E378" w14:textId="77777777" w:rsidR="00A125CD" w:rsidRPr="00A125CD" w:rsidRDefault="00A125CD" w:rsidP="00A125CD">
      <w:pPr>
        <w:pStyle w:val="B1"/>
        <w:ind w:left="1420"/>
        <w:rPr>
          <w:rFonts w:ascii="Times New Roman" w:hAnsi="Times New Roman"/>
          <w:noProof/>
          <w:sz w:val="18"/>
          <w:szCs w:val="18"/>
          <w:lang w:eastAsia="ko-KR"/>
        </w:rPr>
      </w:pPr>
      <w:r w:rsidRPr="00A125CD">
        <w:rPr>
          <w:rFonts w:ascii="Times New Roman" w:hAnsi="Times New Roman"/>
          <w:noProof/>
          <w:sz w:val="18"/>
          <w:szCs w:val="18"/>
        </w:rPr>
        <w:t>-</w:t>
      </w:r>
      <w:r w:rsidRPr="00A125CD">
        <w:rPr>
          <w:rFonts w:ascii="Times New Roman" w:hAnsi="Times New Roman"/>
          <w:noProof/>
          <w:sz w:val="18"/>
          <w:szCs w:val="18"/>
        </w:rPr>
        <w:tab/>
      </w:r>
      <w:r w:rsidRPr="00A125CD">
        <w:rPr>
          <w:rFonts w:ascii="Times New Roman" w:hAnsi="Times New Roman"/>
          <w:noProof/>
          <w:sz w:val="18"/>
          <w:szCs w:val="18"/>
          <w:lang w:eastAsia="ko-KR"/>
        </w:rPr>
        <w:t>CORESET ID</w:t>
      </w:r>
      <w:r w:rsidRPr="00A125CD">
        <w:rPr>
          <w:rFonts w:ascii="Times New Roman" w:hAnsi="Times New Roman"/>
          <w:noProof/>
          <w:sz w:val="18"/>
          <w:szCs w:val="18"/>
        </w:rPr>
        <w:t xml:space="preserve">: This field indicates a Control Resource Set identified with </w:t>
      </w:r>
      <w:r w:rsidRPr="00A125CD">
        <w:rPr>
          <w:rFonts w:ascii="Times New Roman" w:hAnsi="Times New Roman"/>
          <w:i/>
          <w:sz w:val="18"/>
          <w:szCs w:val="18"/>
        </w:rPr>
        <w:t>ControlResourceSetId</w:t>
      </w:r>
      <w:r w:rsidRPr="00A125CD">
        <w:rPr>
          <w:rFonts w:ascii="Times New Roman" w:hAnsi="Times New Roman"/>
          <w:sz w:val="18"/>
          <w:szCs w:val="18"/>
        </w:rPr>
        <w:t xml:space="preserve"> as specified in TS 38.331 [5], for which the TCI State is being indicated. In case the value of the field is 0, the field refers to the Control Resource Set configured by </w:t>
      </w:r>
      <w:r w:rsidRPr="00A125CD">
        <w:rPr>
          <w:rFonts w:ascii="Times New Roman" w:hAnsi="Times New Roman"/>
          <w:i/>
          <w:sz w:val="18"/>
          <w:szCs w:val="18"/>
        </w:rPr>
        <w:t>controlResourceSetZero</w:t>
      </w:r>
      <w:r w:rsidRPr="00A125CD">
        <w:rPr>
          <w:rFonts w:ascii="Times New Roman" w:hAnsi="Times New Roman"/>
          <w:sz w:val="18"/>
          <w:szCs w:val="18"/>
        </w:rPr>
        <w:t xml:space="preserve"> as specified in TS 38.331 [5]. </w:t>
      </w:r>
      <w:r w:rsidRPr="00A125CD">
        <w:rPr>
          <w:rFonts w:ascii="Times New Roman" w:hAnsi="Times New Roman"/>
          <w:noProof/>
          <w:sz w:val="18"/>
          <w:szCs w:val="18"/>
        </w:rPr>
        <w:t>The length of the field is 4 bits;</w:t>
      </w:r>
    </w:p>
    <w:p w14:paraId="33F13043" w14:textId="77777777" w:rsidR="00A125CD" w:rsidRPr="00A125CD" w:rsidRDefault="00A125CD" w:rsidP="00A125CD">
      <w:pPr>
        <w:pStyle w:val="B1"/>
        <w:ind w:left="1420"/>
        <w:rPr>
          <w:rFonts w:ascii="Times New Roman" w:hAnsi="Times New Roman"/>
          <w:noProof/>
          <w:sz w:val="18"/>
          <w:szCs w:val="18"/>
        </w:rPr>
      </w:pPr>
      <w:r w:rsidRPr="00A125CD">
        <w:rPr>
          <w:rFonts w:ascii="Times New Roman" w:hAnsi="Times New Roman"/>
          <w:noProof/>
          <w:sz w:val="18"/>
          <w:szCs w:val="18"/>
        </w:rPr>
        <w:t>-</w:t>
      </w:r>
      <w:r w:rsidRPr="00A125CD">
        <w:rPr>
          <w:rFonts w:ascii="Times New Roman" w:hAnsi="Times New Roman"/>
          <w:noProof/>
          <w:sz w:val="18"/>
          <w:szCs w:val="18"/>
        </w:rPr>
        <w:tab/>
      </w:r>
      <w:r w:rsidRPr="00A125CD">
        <w:rPr>
          <w:rFonts w:ascii="Times New Roman" w:hAnsi="Times New Roman"/>
          <w:noProof/>
          <w:sz w:val="18"/>
          <w:szCs w:val="18"/>
          <w:highlight w:val="cyan"/>
          <w:lang w:eastAsia="ko-KR"/>
        </w:rPr>
        <w:t>T</w:t>
      </w:r>
      <w:r w:rsidRPr="00A125CD">
        <w:rPr>
          <w:rFonts w:ascii="Times New Roman" w:hAnsi="Times New Roman"/>
          <w:noProof/>
          <w:sz w:val="18"/>
          <w:szCs w:val="18"/>
          <w:highlight w:val="cyan"/>
        </w:rPr>
        <w:t xml:space="preserve">CI State ID: This field indicates the TCI state identified by </w:t>
      </w:r>
      <w:r w:rsidRPr="00A125CD">
        <w:rPr>
          <w:rFonts w:ascii="Times New Roman" w:hAnsi="Times New Roman"/>
          <w:i/>
          <w:sz w:val="18"/>
          <w:szCs w:val="18"/>
          <w:highlight w:val="cyan"/>
        </w:rPr>
        <w:t>TCI-StateId</w:t>
      </w:r>
      <w:r w:rsidRPr="00A125CD">
        <w:rPr>
          <w:rFonts w:ascii="Times New Roman" w:hAnsi="Times New Roman"/>
          <w:sz w:val="18"/>
          <w:szCs w:val="18"/>
          <w:highlight w:val="cyan"/>
        </w:rPr>
        <w:t xml:space="preserve"> </w:t>
      </w:r>
      <w:r w:rsidRPr="00A125CD">
        <w:rPr>
          <w:rFonts w:ascii="Times New Roman" w:hAnsi="Times New Roman"/>
          <w:noProof/>
          <w:sz w:val="18"/>
          <w:szCs w:val="18"/>
          <w:highlight w:val="cyan"/>
        </w:rPr>
        <w:t xml:space="preserve">as specified in </w:t>
      </w:r>
      <w:r w:rsidRPr="00A125CD">
        <w:rPr>
          <w:rFonts w:ascii="Times New Roman" w:hAnsi="Times New Roman"/>
          <w:sz w:val="18"/>
          <w:szCs w:val="18"/>
          <w:highlight w:val="cyan"/>
          <w:lang w:eastAsia="ko-KR"/>
        </w:rPr>
        <w:t>TS 38.331 [5] applicable to the Control Resource Set identified by CORESET ID field</w:t>
      </w:r>
      <w:r w:rsidRPr="00A125CD">
        <w:rPr>
          <w:rFonts w:ascii="Times New Roman" w:hAnsi="Times New Roman"/>
          <w:noProof/>
          <w:sz w:val="18"/>
          <w:szCs w:val="18"/>
          <w:highlight w:val="cyan"/>
        </w:rPr>
        <w:t>.</w:t>
      </w:r>
      <w:r w:rsidRPr="00A125CD">
        <w:rPr>
          <w:rFonts w:ascii="Times New Roman" w:hAnsi="Times New Roman"/>
          <w:noProof/>
          <w:sz w:val="18"/>
          <w:szCs w:val="18"/>
        </w:rPr>
        <w:t xml:space="preserve"> If the field of CORESET ID is set to 0, this field indicates a </w:t>
      </w:r>
      <w:r w:rsidRPr="00A125CD">
        <w:rPr>
          <w:rFonts w:ascii="Times New Roman" w:hAnsi="Times New Roman"/>
          <w:i/>
          <w:noProof/>
          <w:sz w:val="18"/>
          <w:szCs w:val="18"/>
        </w:rPr>
        <w:t>TCI-StateId</w:t>
      </w:r>
      <w:r w:rsidRPr="00A125CD">
        <w:rPr>
          <w:rFonts w:ascii="Times New Roman" w:hAnsi="Times New Roman"/>
          <w:noProof/>
          <w:sz w:val="18"/>
          <w:szCs w:val="18"/>
        </w:rPr>
        <w:t xml:space="preserve"> for a TCI state of the first 64 TCI-states configured by </w:t>
      </w:r>
      <w:r w:rsidRPr="00A125CD">
        <w:rPr>
          <w:rFonts w:ascii="Times New Roman" w:hAnsi="Times New Roman"/>
          <w:i/>
          <w:noProof/>
          <w:sz w:val="18"/>
          <w:szCs w:val="18"/>
        </w:rPr>
        <w:t>tci-States-ToAddModList</w:t>
      </w:r>
      <w:r w:rsidRPr="00A125CD">
        <w:rPr>
          <w:rFonts w:ascii="Times New Roman" w:hAnsi="Times New Roman"/>
          <w:noProof/>
          <w:sz w:val="18"/>
          <w:szCs w:val="18"/>
        </w:rPr>
        <w:t xml:space="preserve"> and </w:t>
      </w:r>
      <w:r w:rsidRPr="00A125CD">
        <w:rPr>
          <w:rFonts w:ascii="Times New Roman" w:hAnsi="Times New Roman"/>
          <w:i/>
          <w:noProof/>
          <w:sz w:val="18"/>
          <w:szCs w:val="18"/>
        </w:rPr>
        <w:t>tci-States-ToReleaseList</w:t>
      </w:r>
      <w:r w:rsidRPr="00A125CD">
        <w:rPr>
          <w:rFonts w:ascii="Times New Roman" w:hAnsi="Times New Roman"/>
          <w:noProof/>
          <w:sz w:val="18"/>
          <w:szCs w:val="18"/>
        </w:rPr>
        <w:t xml:space="preserve"> in the </w:t>
      </w:r>
      <w:r w:rsidRPr="00A125CD">
        <w:rPr>
          <w:rFonts w:ascii="Times New Roman" w:hAnsi="Times New Roman"/>
          <w:i/>
          <w:noProof/>
          <w:sz w:val="18"/>
          <w:szCs w:val="18"/>
        </w:rPr>
        <w:t>PDSCH-Config</w:t>
      </w:r>
      <w:r w:rsidRPr="00A125CD">
        <w:rPr>
          <w:rFonts w:ascii="Times New Roman" w:hAnsi="Times New Roman"/>
          <w:noProof/>
          <w:sz w:val="18"/>
          <w:szCs w:val="18"/>
        </w:rPr>
        <w:t xml:space="preserve"> in the active BWP. If the field of CORESET ID is set to the other </w:t>
      </w:r>
      <w:r w:rsidRPr="00A125CD">
        <w:rPr>
          <w:rFonts w:ascii="Times New Roman" w:hAnsi="Times New Roman"/>
          <w:noProof/>
          <w:sz w:val="18"/>
          <w:szCs w:val="18"/>
        </w:rPr>
        <w:lastRenderedPageBreak/>
        <w:t xml:space="preserve">value than 0, this field indicates a </w:t>
      </w:r>
      <w:r w:rsidRPr="00A125CD">
        <w:rPr>
          <w:rFonts w:ascii="Times New Roman" w:hAnsi="Times New Roman"/>
          <w:i/>
          <w:noProof/>
          <w:sz w:val="18"/>
          <w:szCs w:val="18"/>
        </w:rPr>
        <w:t>TCI-StateId</w:t>
      </w:r>
      <w:r w:rsidRPr="00A125CD">
        <w:rPr>
          <w:rFonts w:ascii="Times New Roman" w:hAnsi="Times New Roman"/>
          <w:noProof/>
          <w:sz w:val="18"/>
          <w:szCs w:val="18"/>
        </w:rPr>
        <w:t xml:space="preserve"> configured by </w:t>
      </w:r>
      <w:r w:rsidRPr="00A125CD">
        <w:rPr>
          <w:rFonts w:ascii="Times New Roman" w:hAnsi="Times New Roman"/>
          <w:i/>
          <w:noProof/>
          <w:sz w:val="18"/>
          <w:szCs w:val="18"/>
        </w:rPr>
        <w:t>tci-StatesPDCCH-ToAddList</w:t>
      </w:r>
      <w:r w:rsidRPr="00A125CD">
        <w:rPr>
          <w:rFonts w:ascii="Times New Roman" w:hAnsi="Times New Roman"/>
          <w:noProof/>
          <w:sz w:val="18"/>
          <w:szCs w:val="18"/>
        </w:rPr>
        <w:t xml:space="preserve"> and </w:t>
      </w:r>
      <w:r w:rsidRPr="00A125CD">
        <w:rPr>
          <w:rFonts w:ascii="Times New Roman" w:hAnsi="Times New Roman"/>
          <w:i/>
          <w:noProof/>
          <w:sz w:val="18"/>
          <w:szCs w:val="18"/>
        </w:rPr>
        <w:t>tci-StatesPDCCH-ToReleaseList</w:t>
      </w:r>
      <w:r w:rsidRPr="00A125CD">
        <w:rPr>
          <w:rFonts w:ascii="Times New Roman" w:hAnsi="Times New Roman"/>
          <w:noProof/>
          <w:sz w:val="18"/>
          <w:szCs w:val="18"/>
        </w:rPr>
        <w:t xml:space="preserve"> in the </w:t>
      </w:r>
      <w:r w:rsidRPr="00A125CD">
        <w:rPr>
          <w:rFonts w:ascii="Times New Roman" w:hAnsi="Times New Roman"/>
          <w:i/>
          <w:noProof/>
          <w:sz w:val="18"/>
          <w:szCs w:val="18"/>
        </w:rPr>
        <w:t>controlResourceSet</w:t>
      </w:r>
      <w:r w:rsidRPr="00A125CD">
        <w:rPr>
          <w:rFonts w:ascii="Times New Roman" w:hAnsi="Times New Roman"/>
          <w:noProof/>
          <w:sz w:val="18"/>
          <w:szCs w:val="18"/>
        </w:rPr>
        <w:t xml:space="preserve"> identified by the indicated CORESET ID. The length of the field is 7 bits.</w:t>
      </w:r>
    </w:p>
    <w:p w14:paraId="46D5409F" w14:textId="77777777" w:rsidR="00A125CD" w:rsidRPr="00A125CD" w:rsidRDefault="00A125CD" w:rsidP="00A125CD">
      <w:pPr>
        <w:pStyle w:val="TH"/>
        <w:ind w:left="852"/>
        <w:rPr>
          <w:sz w:val="18"/>
          <w:szCs w:val="18"/>
        </w:rPr>
      </w:pPr>
      <w:r w:rsidRPr="00A125CD">
        <w:rPr>
          <w:sz w:val="18"/>
          <w:szCs w:val="18"/>
        </w:rPr>
        <w:object w:dxaOrig="5700" w:dyaOrig="1590" w14:anchorId="40CF1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80.15pt" o:ole="">
            <v:imagedata r:id="rId8" o:title=""/>
          </v:shape>
          <o:OLEObject Type="Embed" ProgID="Visio.Drawing.15" ShapeID="_x0000_i1025" DrawAspect="Content" ObjectID="_1651068090" r:id="rId9"/>
        </w:object>
      </w:r>
    </w:p>
    <w:p w14:paraId="38F5F054" w14:textId="39C0EF54" w:rsidR="00783CC3" w:rsidRPr="00375972" w:rsidRDefault="00A125CD" w:rsidP="00375972">
      <w:pPr>
        <w:pStyle w:val="TF"/>
        <w:ind w:left="852"/>
        <w:rPr>
          <w:noProof/>
          <w:sz w:val="18"/>
          <w:szCs w:val="18"/>
          <w:lang w:eastAsia="ko-KR"/>
        </w:rPr>
      </w:pPr>
      <w:r w:rsidRPr="00A125CD">
        <w:rPr>
          <w:noProof/>
          <w:sz w:val="18"/>
          <w:szCs w:val="18"/>
          <w:lang w:eastAsia="ko-KR"/>
        </w:rPr>
        <w:t xml:space="preserve">Figure 6.1.3.15-1: </w:t>
      </w:r>
      <w:r w:rsidRPr="00A125CD">
        <w:rPr>
          <w:sz w:val="18"/>
          <w:szCs w:val="18"/>
          <w:lang w:eastAsia="ko-KR"/>
        </w:rPr>
        <w:t>TCI State Indication for UE-specific PDCCH MAC CE</w:t>
      </w:r>
    </w:p>
    <w:p w14:paraId="0ED07849" w14:textId="502F5832" w:rsidR="004F5E1B" w:rsidRDefault="00354B4B" w:rsidP="00354B4B">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6</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r>
      <w:r w:rsidR="004F5E1B">
        <w:rPr>
          <w:rFonts w:asciiTheme="minorHAnsi" w:hAnsiTheme="minorHAnsi" w:cstheme="minorHAnsi"/>
          <w:color w:val="1F497D" w:themeColor="text2"/>
          <w:sz w:val="22"/>
        </w:rPr>
        <w:t>In case of multiple TCI states are configured for PDCCH, the gNB provides a TCI state indication to the UE (38.321 clause 5.18.5), by which the UE gets informed on which SSB index it is to receive at completion of the FR1 SCell activation.</w:t>
      </w:r>
    </w:p>
    <w:p w14:paraId="0658A1CA" w14:textId="77777777" w:rsidR="004F5E1B" w:rsidRDefault="004F5E1B" w:rsidP="00354B4B">
      <w:pPr>
        <w:spacing w:after="0"/>
        <w:ind w:left="1418" w:hanging="1418"/>
        <w:rPr>
          <w:rFonts w:asciiTheme="minorHAnsi" w:hAnsiTheme="minorHAnsi" w:cstheme="minorHAnsi"/>
          <w:color w:val="1F497D" w:themeColor="text2"/>
          <w:sz w:val="22"/>
        </w:rPr>
      </w:pPr>
    </w:p>
    <w:p w14:paraId="19E8F3E9" w14:textId="15E79FA1" w:rsidR="00975458" w:rsidRDefault="0070795A" w:rsidP="009E0AEB">
      <w:pPr>
        <w:spacing w:after="0"/>
        <w:rPr>
          <w:rFonts w:asciiTheme="minorHAnsi" w:hAnsiTheme="minorHAnsi" w:cstheme="minorHAnsi"/>
          <w:sz w:val="22"/>
        </w:rPr>
      </w:pPr>
      <w:r w:rsidRPr="0070795A">
        <w:rPr>
          <w:rFonts w:asciiTheme="minorHAnsi" w:hAnsiTheme="minorHAnsi" w:cstheme="minorHAnsi"/>
          <w:sz w:val="22"/>
        </w:rPr>
        <w:t xml:space="preserve">Observations 1 – </w:t>
      </w:r>
      <w:r w:rsidR="000220AD">
        <w:rPr>
          <w:rFonts w:asciiTheme="minorHAnsi" w:hAnsiTheme="minorHAnsi" w:cstheme="minorHAnsi"/>
          <w:sz w:val="22"/>
        </w:rPr>
        <w:t>3 show that system frame borders of intra-band contiguous serving cells are received within 260ns from each other when the same propagation path is assumed. Observation 4 – 6 show that even if different SSB indexes are used for the same Tx beam in the different cells, the UE can determine which SSB index to receive</w:t>
      </w:r>
      <w:r w:rsidR="00B843B9">
        <w:rPr>
          <w:rFonts w:asciiTheme="minorHAnsi" w:hAnsiTheme="minorHAnsi" w:cstheme="minorHAnsi"/>
          <w:sz w:val="22"/>
        </w:rPr>
        <w:t>, and where in time to receive it, for</w:t>
      </w:r>
      <w:r w:rsidR="000220AD">
        <w:rPr>
          <w:rFonts w:asciiTheme="minorHAnsi" w:hAnsiTheme="minorHAnsi" w:cstheme="minorHAnsi"/>
          <w:sz w:val="22"/>
        </w:rPr>
        <w:t xml:space="preserve"> the unknown SCell to-be-activated.</w:t>
      </w:r>
      <w:r w:rsidR="009E0AEB">
        <w:rPr>
          <w:rFonts w:asciiTheme="minorHAnsi" w:hAnsiTheme="minorHAnsi" w:cstheme="minorHAnsi"/>
          <w:sz w:val="22"/>
        </w:rPr>
        <w:t xml:space="preserve"> I</w:t>
      </w:r>
      <w:r w:rsidR="009E0AEB" w:rsidRPr="001829F4">
        <w:rPr>
          <w:rFonts w:asciiTheme="minorHAnsi" w:hAnsiTheme="minorHAnsi" w:cstheme="minorHAnsi"/>
          <w:sz w:val="22"/>
        </w:rPr>
        <w:t xml:space="preserve">t is the responsibility of the network that </w:t>
      </w:r>
      <w:r w:rsidR="009E0AEB">
        <w:rPr>
          <w:rFonts w:asciiTheme="minorHAnsi" w:hAnsiTheme="minorHAnsi" w:cstheme="minorHAnsi"/>
          <w:sz w:val="22"/>
        </w:rPr>
        <w:t>side conditions on propagation path in each respective cell is fulfilled – whether common Tx beam or same Tx beams are assumed.</w:t>
      </w:r>
      <w:r w:rsidR="00A11991">
        <w:rPr>
          <w:rFonts w:asciiTheme="minorHAnsi" w:hAnsiTheme="minorHAnsi" w:cstheme="minorHAnsi"/>
          <w:sz w:val="22"/>
        </w:rPr>
        <w:t xml:space="preserve"> We can further discuss how to capture this.</w:t>
      </w:r>
    </w:p>
    <w:p w14:paraId="5A66B18A" w14:textId="30B5EED3" w:rsidR="00D8129E" w:rsidRDefault="00D8129E" w:rsidP="009E0AEB">
      <w:pPr>
        <w:spacing w:after="0"/>
        <w:rPr>
          <w:rFonts w:asciiTheme="minorHAnsi" w:hAnsiTheme="minorHAnsi" w:cstheme="minorHAnsi"/>
          <w:sz w:val="22"/>
        </w:rPr>
      </w:pPr>
    </w:p>
    <w:p w14:paraId="4E97D983" w14:textId="63BABEDC" w:rsidR="00D8129E" w:rsidRPr="009E0AEB" w:rsidRDefault="00D8129E" w:rsidP="009E0AEB">
      <w:pPr>
        <w:spacing w:after="0"/>
        <w:rPr>
          <w:rFonts w:asciiTheme="minorHAnsi" w:hAnsiTheme="minorHAnsi" w:cstheme="minorHAnsi"/>
          <w:sz w:val="22"/>
        </w:rPr>
      </w:pPr>
      <w:r>
        <w:rPr>
          <w:rFonts w:asciiTheme="minorHAnsi" w:hAnsiTheme="minorHAnsi" w:cstheme="minorHAnsi"/>
          <w:sz w:val="22"/>
        </w:rPr>
        <w:t xml:space="preserve">We make the following proposal regarding the scaling factor N for activation of unknown SCell in FR1: </w:t>
      </w:r>
    </w:p>
    <w:p w14:paraId="0AF46C2D" w14:textId="77777777" w:rsidR="00375972" w:rsidRDefault="00375972" w:rsidP="00975458">
      <w:pPr>
        <w:spacing w:after="0"/>
        <w:ind w:left="1418" w:hanging="1418"/>
        <w:rPr>
          <w:rFonts w:asciiTheme="minorHAnsi" w:hAnsiTheme="minorHAnsi" w:cstheme="minorHAnsi"/>
          <w:b/>
          <w:bCs/>
          <w:color w:val="1F497D" w:themeColor="text2"/>
          <w:sz w:val="22"/>
        </w:rPr>
      </w:pPr>
    </w:p>
    <w:p w14:paraId="526EA832" w14:textId="2BB6DAF6" w:rsidR="00B8274F" w:rsidRDefault="00D804AD" w:rsidP="00B8274F">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 xml:space="preserve">Proposal 1: </w:t>
      </w:r>
      <w:r>
        <w:rPr>
          <w:rFonts w:asciiTheme="minorHAnsi" w:hAnsiTheme="minorHAnsi" w:cstheme="minorHAnsi"/>
          <w:color w:val="1F497D" w:themeColor="text2"/>
          <w:sz w:val="22"/>
        </w:rPr>
        <w:t xml:space="preserve"> </w:t>
      </w:r>
      <w:r w:rsidR="00987A37">
        <w:rPr>
          <w:rFonts w:asciiTheme="minorHAnsi" w:hAnsiTheme="minorHAnsi" w:cstheme="minorHAnsi"/>
          <w:color w:val="1F497D" w:themeColor="text2"/>
          <w:sz w:val="22"/>
        </w:rPr>
        <w:t xml:space="preserve">An unknown SCell in FR1 </w:t>
      </w:r>
      <w:r w:rsidR="00B8274F">
        <w:rPr>
          <w:rFonts w:asciiTheme="minorHAnsi" w:hAnsiTheme="minorHAnsi" w:cstheme="minorHAnsi"/>
          <w:color w:val="1F497D" w:themeColor="text2"/>
          <w:sz w:val="22"/>
        </w:rPr>
        <w:t xml:space="preserve">that is contiguous to </w:t>
      </w:r>
      <w:r w:rsidR="00CD452E">
        <w:rPr>
          <w:rFonts w:asciiTheme="minorHAnsi" w:hAnsiTheme="minorHAnsi" w:cstheme="minorHAnsi"/>
          <w:color w:val="1F497D" w:themeColor="text2"/>
          <w:sz w:val="22"/>
        </w:rPr>
        <w:t xml:space="preserve">an </w:t>
      </w:r>
      <w:r w:rsidR="00B8274F">
        <w:rPr>
          <w:rFonts w:asciiTheme="minorHAnsi" w:hAnsiTheme="minorHAnsi" w:cstheme="minorHAnsi"/>
          <w:color w:val="1F497D" w:themeColor="text2"/>
          <w:sz w:val="22"/>
        </w:rPr>
        <w:t>active servi</w:t>
      </w:r>
      <w:r w:rsidR="00747E76">
        <w:rPr>
          <w:rFonts w:asciiTheme="minorHAnsi" w:hAnsiTheme="minorHAnsi" w:cstheme="minorHAnsi"/>
          <w:color w:val="1F497D" w:themeColor="text2"/>
          <w:sz w:val="22"/>
        </w:rPr>
        <w:t>n</w:t>
      </w:r>
      <w:r w:rsidR="00B8274F">
        <w:rPr>
          <w:rFonts w:asciiTheme="minorHAnsi" w:hAnsiTheme="minorHAnsi" w:cstheme="minorHAnsi"/>
          <w:color w:val="1F497D" w:themeColor="text2"/>
          <w:sz w:val="22"/>
        </w:rPr>
        <w:t>g cell, or to a known SCell being activated by the same MAC PDU, is not accounted for in, or scaled by, N when either of the following is fulfilled:</w:t>
      </w:r>
    </w:p>
    <w:p w14:paraId="58C5490C" w14:textId="77777777" w:rsidR="00B8274F" w:rsidRDefault="00B8274F" w:rsidP="003274AC">
      <w:pPr>
        <w:pStyle w:val="ListParagraph"/>
        <w:numPr>
          <w:ilvl w:val="0"/>
          <w:numId w:val="12"/>
        </w:numPr>
        <w:spacing w:after="0"/>
        <w:ind w:left="1560" w:hanging="426"/>
        <w:rPr>
          <w:rFonts w:asciiTheme="minorHAnsi" w:hAnsiTheme="minorHAnsi" w:cstheme="minorHAnsi"/>
          <w:color w:val="1F497D" w:themeColor="text2"/>
          <w:sz w:val="22"/>
        </w:rPr>
      </w:pPr>
      <w:r>
        <w:rPr>
          <w:rFonts w:asciiTheme="minorHAnsi" w:hAnsiTheme="minorHAnsi" w:cstheme="minorHAnsi"/>
          <w:color w:val="1F497D" w:themeColor="text2"/>
          <w:sz w:val="22"/>
        </w:rPr>
        <w:t>A single SSB is used in the unknown SCell</w:t>
      </w:r>
    </w:p>
    <w:p w14:paraId="73CF9CBC" w14:textId="38F40003" w:rsidR="00B8274F" w:rsidRDefault="00B8274F" w:rsidP="003274AC">
      <w:pPr>
        <w:pStyle w:val="ListParagraph"/>
        <w:numPr>
          <w:ilvl w:val="0"/>
          <w:numId w:val="12"/>
        </w:numPr>
        <w:spacing w:after="0"/>
        <w:ind w:left="1560" w:hanging="426"/>
        <w:rPr>
          <w:rFonts w:asciiTheme="minorHAnsi" w:hAnsiTheme="minorHAnsi" w:cstheme="minorHAnsi"/>
          <w:color w:val="1F497D" w:themeColor="text2"/>
          <w:sz w:val="22"/>
        </w:rPr>
      </w:pPr>
      <w:r>
        <w:rPr>
          <w:rFonts w:asciiTheme="minorHAnsi" w:hAnsiTheme="minorHAnsi" w:cstheme="minorHAnsi"/>
          <w:color w:val="1F497D" w:themeColor="text2"/>
          <w:sz w:val="22"/>
        </w:rPr>
        <w:t>Multiple SSBs are used in the unknown SCell, and TCI state indication for PDCCH is provided by the same MAC PDU used for SCell activation</w:t>
      </w:r>
    </w:p>
    <w:p w14:paraId="39C4B04D" w14:textId="247751D7" w:rsidR="003A542E" w:rsidRPr="00A11991" w:rsidRDefault="00B8274F" w:rsidP="00A11991">
      <w:pPr>
        <w:spacing w:after="0"/>
        <w:ind w:left="1134"/>
        <w:rPr>
          <w:rFonts w:asciiTheme="minorHAnsi" w:hAnsiTheme="minorHAnsi" w:cstheme="minorHAnsi"/>
          <w:color w:val="1F497D" w:themeColor="text2"/>
          <w:sz w:val="22"/>
        </w:rPr>
      </w:pPr>
      <w:r>
        <w:rPr>
          <w:rFonts w:asciiTheme="minorHAnsi" w:hAnsiTheme="minorHAnsi" w:cstheme="minorHAnsi"/>
          <w:color w:val="1F497D" w:themeColor="text2"/>
          <w:sz w:val="22"/>
        </w:rPr>
        <w:t>Otherwise the SCell is accounted for in, and scaled by, N.</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58038681" w14:textId="50AE7D3E" w:rsidR="001004B9" w:rsidRDefault="0023519E" w:rsidP="00672982">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13378D">
        <w:rPr>
          <w:rFonts w:asciiTheme="minorHAnsi" w:hAnsiTheme="minorHAnsi" w:cstheme="minorHAnsi"/>
          <w:sz w:val="22"/>
          <w:lang w:val="en-CA"/>
        </w:rPr>
        <w:t xml:space="preserve">we have provided </w:t>
      </w:r>
      <w:r w:rsidR="002D6055">
        <w:rPr>
          <w:rFonts w:asciiTheme="minorHAnsi" w:hAnsiTheme="minorHAnsi" w:cstheme="minorHAnsi"/>
          <w:sz w:val="22"/>
          <w:lang w:val="en-CA"/>
        </w:rPr>
        <w:t>further input to the discussion on activation of multiple SCells</w:t>
      </w:r>
      <w:r w:rsidR="00A11991">
        <w:rPr>
          <w:rFonts w:asciiTheme="minorHAnsi" w:hAnsiTheme="minorHAnsi" w:cstheme="minorHAnsi"/>
          <w:sz w:val="22"/>
          <w:lang w:val="en-CA"/>
        </w:rPr>
        <w:t xml:space="preserve"> and particularly the issue about the scaling factor N</w:t>
      </w:r>
      <w:r w:rsidR="002D6055">
        <w:rPr>
          <w:rFonts w:asciiTheme="minorHAnsi" w:hAnsiTheme="minorHAnsi" w:cstheme="minorHAnsi"/>
          <w:sz w:val="22"/>
          <w:lang w:val="en-CA"/>
        </w:rPr>
        <w:t>.</w:t>
      </w:r>
    </w:p>
    <w:p w14:paraId="6B2C0A56" w14:textId="786CBC39" w:rsidR="00925686" w:rsidRDefault="002D6055" w:rsidP="00672982">
      <w:pPr>
        <w:rPr>
          <w:rFonts w:asciiTheme="minorHAnsi" w:hAnsiTheme="minorHAnsi" w:cstheme="minorHAnsi"/>
          <w:sz w:val="22"/>
          <w:lang w:val="en-CA"/>
        </w:rPr>
      </w:pPr>
      <w:r>
        <w:rPr>
          <w:rFonts w:asciiTheme="minorHAnsi" w:hAnsiTheme="minorHAnsi" w:cstheme="minorHAnsi"/>
          <w:sz w:val="22"/>
          <w:lang w:val="en-CA"/>
        </w:rPr>
        <w:t xml:space="preserve">The following observations </w:t>
      </w:r>
      <w:r w:rsidR="00A11991">
        <w:rPr>
          <w:rFonts w:asciiTheme="minorHAnsi" w:hAnsiTheme="minorHAnsi" w:cstheme="minorHAnsi"/>
          <w:sz w:val="22"/>
          <w:lang w:val="en-CA"/>
        </w:rPr>
        <w:t xml:space="preserve">and proposal </w:t>
      </w:r>
      <w:r>
        <w:rPr>
          <w:rFonts w:asciiTheme="minorHAnsi" w:hAnsiTheme="minorHAnsi" w:cstheme="minorHAnsi"/>
          <w:sz w:val="22"/>
          <w:lang w:val="en-CA"/>
        </w:rPr>
        <w:t>are made</w:t>
      </w:r>
      <w:r w:rsidR="00FD4B38">
        <w:rPr>
          <w:rFonts w:asciiTheme="minorHAnsi" w:hAnsiTheme="minorHAnsi" w:cstheme="minorHAnsi"/>
          <w:sz w:val="22"/>
          <w:lang w:val="en-CA"/>
        </w:rPr>
        <w:t>:</w:t>
      </w:r>
    </w:p>
    <w:p w14:paraId="011B29EA" w14:textId="77777777" w:rsidR="004F5E1B" w:rsidRDefault="004F5E1B" w:rsidP="004F5E1B">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Observation 1:</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Aggregated intra-band cells are co-located (38.133 clause 7.6.4) and hence transmitted from the same site.</w:t>
      </w:r>
    </w:p>
    <w:p w14:paraId="1A925DF1" w14:textId="77777777" w:rsidR="002D6055" w:rsidRPr="004F5E1B" w:rsidRDefault="002D6055" w:rsidP="002D6055">
      <w:pPr>
        <w:spacing w:after="0"/>
        <w:rPr>
          <w:rFonts w:asciiTheme="minorHAnsi" w:hAnsiTheme="minorHAnsi" w:cstheme="minorHAnsi"/>
          <w:color w:val="1F497D" w:themeColor="text2"/>
          <w:sz w:val="22"/>
        </w:rPr>
      </w:pPr>
    </w:p>
    <w:p w14:paraId="14A8718B" w14:textId="77777777" w:rsidR="004F5E1B" w:rsidRDefault="004F5E1B" w:rsidP="004F5E1B">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2</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The maximum allowed base station transmission time alignment error is less than or equal to 260ns for intra-band contiguous CA (38.104 clauses 6.5.3.2, 9.6.3.2).</w:t>
      </w:r>
    </w:p>
    <w:p w14:paraId="5D5BCC31" w14:textId="1D1899A8" w:rsidR="00925686" w:rsidRDefault="00925686" w:rsidP="00925686">
      <w:pPr>
        <w:spacing w:after="0"/>
        <w:rPr>
          <w:rFonts w:asciiTheme="minorHAnsi" w:hAnsiTheme="minorHAnsi" w:cstheme="minorHAnsi"/>
          <w:color w:val="1F497D" w:themeColor="text2"/>
          <w:sz w:val="22"/>
        </w:rPr>
      </w:pPr>
    </w:p>
    <w:p w14:paraId="1F67411A" w14:textId="77777777" w:rsidR="004F5E1B" w:rsidRDefault="004F5E1B" w:rsidP="004F5E1B">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3</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SFN alignment (on top of slot border alignment) is assumed for cells in the same cell group (MCG, SCG) (38.331 clause 5.2.1)</w:t>
      </w:r>
    </w:p>
    <w:p w14:paraId="53CB8E0C" w14:textId="5739419C" w:rsidR="004F5E1B" w:rsidRDefault="004F5E1B" w:rsidP="00925686">
      <w:pPr>
        <w:spacing w:after="0"/>
        <w:rPr>
          <w:rFonts w:asciiTheme="minorHAnsi" w:hAnsiTheme="minorHAnsi" w:cstheme="minorHAnsi"/>
          <w:color w:val="1F497D" w:themeColor="text2"/>
          <w:sz w:val="22"/>
        </w:rPr>
      </w:pPr>
    </w:p>
    <w:p w14:paraId="407088D7" w14:textId="407A2463" w:rsidR="004F5E1B" w:rsidRDefault="004F5E1B" w:rsidP="004F5E1B">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4</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SSB indexes used in the target cell are prior known to the UE via RRC signalling at SCell addition. (38.331 clause 6.3.2)</w:t>
      </w:r>
    </w:p>
    <w:p w14:paraId="28D2CDC5" w14:textId="77777777" w:rsidR="004F5E1B" w:rsidRDefault="004F5E1B" w:rsidP="004F5E1B">
      <w:pPr>
        <w:spacing w:after="0"/>
        <w:ind w:left="1418" w:hanging="1418"/>
        <w:rPr>
          <w:rFonts w:asciiTheme="minorHAnsi" w:hAnsiTheme="minorHAnsi" w:cstheme="minorHAnsi"/>
          <w:color w:val="1F497D" w:themeColor="text2"/>
          <w:sz w:val="22"/>
        </w:rPr>
      </w:pPr>
    </w:p>
    <w:p w14:paraId="51A4F5E5" w14:textId="77777777" w:rsidR="004F5E1B" w:rsidRDefault="004F5E1B" w:rsidP="004F5E1B">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5</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Mapping between TCI state and associated SSB index for PDCCH is known beforehand via RRC signalling e.g. at SCell addition. There may be multiple TCI states (38.331 clause 6.3.2)</w:t>
      </w:r>
    </w:p>
    <w:p w14:paraId="4A96DC3B" w14:textId="21E266D6" w:rsidR="004F5E1B" w:rsidRDefault="004F5E1B" w:rsidP="00925686">
      <w:pPr>
        <w:spacing w:after="0"/>
        <w:rPr>
          <w:rFonts w:asciiTheme="minorHAnsi" w:hAnsiTheme="minorHAnsi" w:cstheme="minorHAnsi"/>
          <w:color w:val="1F497D" w:themeColor="text2"/>
          <w:sz w:val="22"/>
        </w:rPr>
      </w:pPr>
    </w:p>
    <w:p w14:paraId="7E7245CA" w14:textId="77777777" w:rsidR="0070795A" w:rsidRDefault="0070795A" w:rsidP="0070795A">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 xml:space="preserve">Observation </w:t>
      </w:r>
      <w:r>
        <w:rPr>
          <w:rFonts w:asciiTheme="minorHAnsi" w:hAnsiTheme="minorHAnsi" w:cstheme="minorHAnsi"/>
          <w:b/>
          <w:bCs/>
          <w:color w:val="1F497D" w:themeColor="text2"/>
          <w:sz w:val="22"/>
        </w:rPr>
        <w:t>6</w:t>
      </w:r>
      <w:r w:rsidRPr="002B40C2">
        <w:rPr>
          <w:rFonts w:asciiTheme="minorHAnsi" w:hAnsiTheme="minorHAnsi" w:cstheme="minorHAnsi"/>
          <w:b/>
          <w:bCs/>
          <w:color w:val="1F497D" w:themeColor="text2"/>
          <w:sz w:val="22"/>
        </w:rPr>
        <w:t>:</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In case of multiple TCI states are configured for PDCCH, the gNB provides a TCI state indication to the UE (38.321 clause 5.18.5), by which the UE gets informed on which SSB index it is to receive at completion of the FR1 SCell activation.</w:t>
      </w:r>
    </w:p>
    <w:p w14:paraId="058FF337" w14:textId="62484B00" w:rsidR="0070795A" w:rsidRDefault="0070795A" w:rsidP="00925686">
      <w:pPr>
        <w:spacing w:after="0"/>
        <w:rPr>
          <w:rFonts w:asciiTheme="minorHAnsi" w:hAnsiTheme="minorHAnsi" w:cstheme="minorHAnsi"/>
          <w:color w:val="1F497D" w:themeColor="text2"/>
          <w:sz w:val="22"/>
        </w:rPr>
      </w:pPr>
    </w:p>
    <w:p w14:paraId="57D92EA3" w14:textId="77777777" w:rsidR="00D8129E" w:rsidRDefault="00D8129E" w:rsidP="00D8129E">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 xml:space="preserve">Proposal 1: </w:t>
      </w:r>
      <w:r>
        <w:rPr>
          <w:rFonts w:asciiTheme="minorHAnsi" w:hAnsiTheme="minorHAnsi" w:cstheme="minorHAnsi"/>
          <w:color w:val="1F497D" w:themeColor="text2"/>
          <w:sz w:val="22"/>
        </w:rPr>
        <w:t xml:space="preserve"> An unknown SCell in FR1 that is contiguous to an active serving cell, or to a known SCell being activated by the same MAC PDU, is not accounted for in, or scaled by, N when either of the following is fulfilled:</w:t>
      </w:r>
    </w:p>
    <w:p w14:paraId="41DF0080" w14:textId="77777777" w:rsidR="00D8129E" w:rsidRDefault="00D8129E" w:rsidP="00D8129E">
      <w:pPr>
        <w:pStyle w:val="ListParagraph"/>
        <w:numPr>
          <w:ilvl w:val="0"/>
          <w:numId w:val="12"/>
        </w:numPr>
        <w:spacing w:after="0"/>
        <w:ind w:left="1560" w:hanging="426"/>
        <w:rPr>
          <w:rFonts w:asciiTheme="minorHAnsi" w:hAnsiTheme="minorHAnsi" w:cstheme="minorHAnsi"/>
          <w:color w:val="1F497D" w:themeColor="text2"/>
          <w:sz w:val="22"/>
        </w:rPr>
      </w:pPr>
      <w:r>
        <w:rPr>
          <w:rFonts w:asciiTheme="minorHAnsi" w:hAnsiTheme="minorHAnsi" w:cstheme="minorHAnsi"/>
          <w:color w:val="1F497D" w:themeColor="text2"/>
          <w:sz w:val="22"/>
        </w:rPr>
        <w:t>A single SSB is used in the unknown SCell</w:t>
      </w:r>
    </w:p>
    <w:p w14:paraId="23230DD0" w14:textId="77777777" w:rsidR="00D8129E" w:rsidRDefault="00D8129E" w:rsidP="00D8129E">
      <w:pPr>
        <w:pStyle w:val="ListParagraph"/>
        <w:numPr>
          <w:ilvl w:val="0"/>
          <w:numId w:val="12"/>
        </w:numPr>
        <w:spacing w:after="0"/>
        <w:ind w:left="1560" w:hanging="426"/>
        <w:rPr>
          <w:rFonts w:asciiTheme="minorHAnsi" w:hAnsiTheme="minorHAnsi" w:cstheme="minorHAnsi"/>
          <w:color w:val="1F497D" w:themeColor="text2"/>
          <w:sz w:val="22"/>
        </w:rPr>
      </w:pPr>
      <w:r>
        <w:rPr>
          <w:rFonts w:asciiTheme="minorHAnsi" w:hAnsiTheme="minorHAnsi" w:cstheme="minorHAnsi"/>
          <w:color w:val="1F497D" w:themeColor="text2"/>
          <w:sz w:val="22"/>
        </w:rPr>
        <w:t>Multiple SSBs are used in the unknown SCell, and TCI state indication for PDCCH is provided by the same MAC PDU used for SCell activation</w:t>
      </w:r>
    </w:p>
    <w:p w14:paraId="12D599D7" w14:textId="77777777" w:rsidR="00D8129E" w:rsidRPr="00B8274F" w:rsidRDefault="00D8129E" w:rsidP="00D8129E">
      <w:pPr>
        <w:spacing w:after="0"/>
        <w:ind w:left="1134"/>
        <w:rPr>
          <w:rFonts w:asciiTheme="minorHAnsi" w:hAnsiTheme="minorHAnsi" w:cstheme="minorHAnsi"/>
          <w:color w:val="1F497D" w:themeColor="text2"/>
          <w:sz w:val="22"/>
        </w:rPr>
      </w:pPr>
      <w:r>
        <w:rPr>
          <w:rFonts w:asciiTheme="minorHAnsi" w:hAnsiTheme="minorHAnsi" w:cstheme="minorHAnsi"/>
          <w:color w:val="1F497D" w:themeColor="text2"/>
          <w:sz w:val="22"/>
        </w:rPr>
        <w:t>Otherwise the SCell is accounted for in, and scaled by, N.</w:t>
      </w:r>
    </w:p>
    <w:p w14:paraId="0A7223EF" w14:textId="77777777" w:rsidR="00D8129E" w:rsidRDefault="00D8129E" w:rsidP="00925686">
      <w:pPr>
        <w:spacing w:after="0"/>
        <w:rPr>
          <w:rFonts w:asciiTheme="minorHAnsi" w:hAnsiTheme="minorHAnsi" w:cstheme="minorHAnsi"/>
          <w:color w:val="1F497D" w:themeColor="text2"/>
          <w:sz w:val="22"/>
        </w:rPr>
      </w:pP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3" w:name="_Ref536781364"/>
      <w:bookmarkStart w:id="54" w:name="_Ref517094573"/>
      <w:bookmarkStart w:id="55" w:name="_Ref536781239"/>
      <w:bookmarkEnd w:id="2"/>
      <w:bookmarkEnd w:id="3"/>
    </w:p>
    <w:p w14:paraId="552E4162" w14:textId="582556BB" w:rsidR="00441B1D" w:rsidRDefault="0097386C" w:rsidP="00441B1D">
      <w:pPr>
        <w:numPr>
          <w:ilvl w:val="0"/>
          <w:numId w:val="9"/>
        </w:numPr>
        <w:tabs>
          <w:tab w:val="left" w:pos="851"/>
        </w:tabs>
        <w:rPr>
          <w:rFonts w:ascii="Arial" w:hAnsi="Arial" w:cs="Arial"/>
          <w:sz w:val="22"/>
          <w:szCs w:val="22"/>
          <w:lang w:val="en-CA"/>
        </w:rPr>
      </w:pPr>
      <w:bookmarkStart w:id="56" w:name="_Ref32486117"/>
      <w:bookmarkStart w:id="57" w:name="_Ref32216336"/>
      <w:bookmarkStart w:id="58" w:name="_Ref21016511"/>
      <w:bookmarkStart w:id="59" w:name="_Ref7436395"/>
      <w:bookmarkStart w:id="60" w:name="_Ref11757867"/>
      <w:bookmarkStart w:id="61" w:name="_Ref5034089"/>
      <w:r w:rsidRPr="0097386C">
        <w:rPr>
          <w:rFonts w:ascii="Arial" w:hAnsi="Arial" w:cs="Arial"/>
          <w:sz w:val="22"/>
          <w:szCs w:val="22"/>
          <w:lang w:val="en-CA"/>
        </w:rPr>
        <w:t>R4-200</w:t>
      </w:r>
      <w:r w:rsidR="00C659C2">
        <w:rPr>
          <w:rFonts w:ascii="Arial" w:hAnsi="Arial" w:cs="Arial"/>
          <w:sz w:val="22"/>
          <w:szCs w:val="22"/>
          <w:lang w:val="en-CA"/>
        </w:rPr>
        <w:t>5347</w:t>
      </w:r>
      <w:r>
        <w:rPr>
          <w:rFonts w:ascii="Arial" w:hAnsi="Arial" w:cs="Arial"/>
          <w:sz w:val="22"/>
          <w:szCs w:val="22"/>
          <w:lang w:val="en-CA"/>
        </w:rPr>
        <w:t xml:space="preserve"> “</w:t>
      </w:r>
      <w:r w:rsidR="001054D9">
        <w:rPr>
          <w:rFonts w:ascii="Arial" w:hAnsi="Arial" w:cs="Arial"/>
          <w:sz w:val="22"/>
          <w:szCs w:val="22"/>
          <w:lang w:val="en-CA"/>
        </w:rPr>
        <w:t>W</w:t>
      </w:r>
      <w:r w:rsidR="00FD22E8">
        <w:rPr>
          <w:rFonts w:ascii="Arial" w:hAnsi="Arial" w:cs="Arial"/>
          <w:sz w:val="22"/>
          <w:szCs w:val="22"/>
          <w:lang w:val="en-CA"/>
        </w:rPr>
        <w:t>ay forward on multiple SCell activatio</w:t>
      </w:r>
      <w:r w:rsidR="00C659C2">
        <w:rPr>
          <w:rFonts w:ascii="Arial" w:hAnsi="Arial" w:cs="Arial"/>
          <w:sz w:val="22"/>
          <w:szCs w:val="22"/>
          <w:lang w:val="en-CA"/>
        </w:rPr>
        <w:t>n</w:t>
      </w:r>
      <w:r w:rsidR="00FD22E8">
        <w:rPr>
          <w:rFonts w:ascii="Arial" w:hAnsi="Arial" w:cs="Arial"/>
          <w:sz w:val="22"/>
          <w:szCs w:val="22"/>
          <w:lang w:val="en-CA"/>
        </w:rPr>
        <w:t>”, Apple</w:t>
      </w:r>
      <w:bookmarkEnd w:id="53"/>
      <w:bookmarkEnd w:id="54"/>
      <w:bookmarkEnd w:id="55"/>
      <w:bookmarkEnd w:id="56"/>
      <w:bookmarkEnd w:id="57"/>
      <w:bookmarkEnd w:id="58"/>
      <w:bookmarkEnd w:id="59"/>
      <w:bookmarkEnd w:id="60"/>
      <w:bookmarkEnd w:id="61"/>
    </w:p>
    <w:p w14:paraId="2B7D3886" w14:textId="1998EF99" w:rsidR="00637373" w:rsidRDefault="00637373" w:rsidP="00441B1D">
      <w:pPr>
        <w:numPr>
          <w:ilvl w:val="0"/>
          <w:numId w:val="9"/>
        </w:numPr>
        <w:tabs>
          <w:tab w:val="left" w:pos="851"/>
        </w:tabs>
        <w:rPr>
          <w:rFonts w:ascii="Arial" w:hAnsi="Arial" w:cs="Arial"/>
          <w:sz w:val="22"/>
          <w:szCs w:val="22"/>
          <w:lang w:val="en-CA"/>
        </w:rPr>
      </w:pPr>
      <w:r>
        <w:rPr>
          <w:rFonts w:ascii="Arial" w:hAnsi="Arial" w:cs="Arial"/>
          <w:sz w:val="22"/>
          <w:szCs w:val="22"/>
          <w:lang w:val="en-CA"/>
        </w:rPr>
        <w:t>R4-200</w:t>
      </w:r>
      <w:r w:rsidR="00177E85">
        <w:rPr>
          <w:rFonts w:ascii="Arial" w:hAnsi="Arial" w:cs="Arial"/>
          <w:sz w:val="22"/>
          <w:szCs w:val="22"/>
          <w:lang w:val="en-CA"/>
        </w:rPr>
        <w:t>4423 “</w:t>
      </w:r>
      <w:r w:rsidR="00177E85" w:rsidRPr="00B07832">
        <w:rPr>
          <w:rFonts w:ascii="Arial" w:hAnsi="Arial" w:cs="Arial"/>
          <w:sz w:val="22"/>
          <w:szCs w:val="22"/>
          <w:lang w:val="en-CA"/>
        </w:rPr>
        <w:t>On</w:t>
      </w:r>
      <w:r w:rsidR="00177E85">
        <w:rPr>
          <w:rFonts w:ascii="Arial" w:hAnsi="Arial" w:cs="Arial"/>
          <w:sz w:val="22"/>
          <w:szCs w:val="22"/>
          <w:lang w:val="en-CA"/>
        </w:rPr>
        <w:t xml:space="preserve"> activation of multiple SCells”, Ericsson</w:t>
      </w:r>
    </w:p>
    <w:p w14:paraId="1FDA4C40" w14:textId="0AACF20E" w:rsidR="00637373" w:rsidRPr="00637373" w:rsidRDefault="00637373" w:rsidP="00637373">
      <w:pPr>
        <w:numPr>
          <w:ilvl w:val="0"/>
          <w:numId w:val="9"/>
        </w:numPr>
        <w:tabs>
          <w:tab w:val="left" w:pos="851"/>
        </w:tabs>
        <w:rPr>
          <w:rFonts w:ascii="Arial" w:hAnsi="Arial" w:cs="Arial"/>
          <w:sz w:val="22"/>
          <w:szCs w:val="22"/>
          <w:lang w:val="en-CA"/>
        </w:rPr>
      </w:pPr>
      <w:bookmarkStart w:id="62" w:name="_Ref37424472"/>
      <w:r w:rsidRPr="00D672F1">
        <w:rPr>
          <w:rFonts w:ascii="Arial" w:hAnsi="Arial" w:cs="Arial"/>
          <w:sz w:val="22"/>
          <w:szCs w:val="22"/>
          <w:lang w:val="en-CA"/>
        </w:rPr>
        <w:t>R4-1915931</w:t>
      </w:r>
      <w:r w:rsidRPr="00D672F1">
        <w:rPr>
          <w:rFonts w:ascii="Arial" w:hAnsi="Arial" w:cs="Arial"/>
          <w:sz w:val="22"/>
          <w:szCs w:val="22"/>
          <w:lang w:val="en-CA"/>
        </w:rPr>
        <w:tab/>
      </w:r>
      <w:r>
        <w:rPr>
          <w:rFonts w:ascii="Arial" w:hAnsi="Arial" w:cs="Arial"/>
          <w:sz w:val="22"/>
          <w:szCs w:val="22"/>
          <w:lang w:val="en-CA"/>
        </w:rPr>
        <w:t>“</w:t>
      </w:r>
      <w:r w:rsidRPr="00D672F1">
        <w:rPr>
          <w:rFonts w:ascii="Arial" w:hAnsi="Arial" w:cs="Arial"/>
          <w:sz w:val="22"/>
          <w:szCs w:val="22"/>
          <w:lang w:val="en-CA"/>
        </w:rPr>
        <w:t>Way forward on activation delay extension due to multiple SCell activations</w:t>
      </w:r>
      <w:r>
        <w:rPr>
          <w:rFonts w:ascii="Arial" w:hAnsi="Arial" w:cs="Arial"/>
          <w:sz w:val="22"/>
          <w:szCs w:val="22"/>
          <w:lang w:val="en-CA"/>
        </w:rPr>
        <w:t>”, Apple</w:t>
      </w:r>
      <w:bookmarkEnd w:id="62"/>
    </w:p>
    <w:sectPr w:rsidR="00637373" w:rsidRPr="00637373"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FFA09" w14:textId="77777777" w:rsidR="00E10901" w:rsidRDefault="00E10901">
      <w:r>
        <w:separator/>
      </w:r>
    </w:p>
  </w:endnote>
  <w:endnote w:type="continuationSeparator" w:id="0">
    <w:p w14:paraId="4022B3AE" w14:textId="77777777" w:rsidR="00E10901" w:rsidRDefault="00E1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494E1" w14:textId="77777777" w:rsidR="00E10901" w:rsidRDefault="00E10901">
      <w:r>
        <w:separator/>
      </w:r>
    </w:p>
  </w:footnote>
  <w:footnote w:type="continuationSeparator" w:id="0">
    <w:p w14:paraId="7D9F1330" w14:textId="77777777" w:rsidR="00E10901" w:rsidRDefault="00E10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60763B"/>
    <w:multiLevelType w:val="hybridMultilevel"/>
    <w:tmpl w:val="0E0A0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79D36613"/>
    <w:multiLevelType w:val="hybridMultilevel"/>
    <w:tmpl w:val="7450A200"/>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8"/>
  </w:num>
  <w:num w:numId="4">
    <w:abstractNumId w:val="3"/>
  </w:num>
  <w:num w:numId="5">
    <w:abstractNumId w:val="4"/>
  </w:num>
  <w:num w:numId="6">
    <w:abstractNumId w:val="1"/>
  </w:num>
  <w:num w:numId="7">
    <w:abstractNumId w:val="0"/>
  </w:num>
  <w:num w:numId="8">
    <w:abstractNumId w:val="11"/>
  </w:num>
  <w:num w:numId="9">
    <w:abstractNumId w:val="5"/>
  </w:num>
  <w:num w:numId="10">
    <w:abstractNumId w:val="7"/>
  </w:num>
  <w:num w:numId="11">
    <w:abstractNumId w:val="2"/>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258"/>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0AD"/>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472"/>
    <w:rsid w:val="00032F1F"/>
    <w:rsid w:val="00034007"/>
    <w:rsid w:val="000347CF"/>
    <w:rsid w:val="0003499C"/>
    <w:rsid w:val="00034C0A"/>
    <w:rsid w:val="00034E6E"/>
    <w:rsid w:val="00034E94"/>
    <w:rsid w:val="00035099"/>
    <w:rsid w:val="000353B6"/>
    <w:rsid w:val="00035D07"/>
    <w:rsid w:val="00037F61"/>
    <w:rsid w:val="00040040"/>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5AC"/>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3AE3"/>
    <w:rsid w:val="000A40A2"/>
    <w:rsid w:val="000A44CD"/>
    <w:rsid w:val="000A46A7"/>
    <w:rsid w:val="000A5259"/>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192C"/>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4D9"/>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378D"/>
    <w:rsid w:val="001346C3"/>
    <w:rsid w:val="001352B7"/>
    <w:rsid w:val="00135633"/>
    <w:rsid w:val="00135985"/>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A02"/>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77E85"/>
    <w:rsid w:val="00180382"/>
    <w:rsid w:val="00180887"/>
    <w:rsid w:val="001808D9"/>
    <w:rsid w:val="00180B0D"/>
    <w:rsid w:val="00180EFD"/>
    <w:rsid w:val="00181669"/>
    <w:rsid w:val="001817B0"/>
    <w:rsid w:val="001820E3"/>
    <w:rsid w:val="001829C0"/>
    <w:rsid w:val="001829F4"/>
    <w:rsid w:val="00182C57"/>
    <w:rsid w:val="00182FEF"/>
    <w:rsid w:val="00182FF1"/>
    <w:rsid w:val="00183697"/>
    <w:rsid w:val="00183A8D"/>
    <w:rsid w:val="001840C3"/>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0B4F"/>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743D"/>
    <w:rsid w:val="001C046A"/>
    <w:rsid w:val="001C0479"/>
    <w:rsid w:val="001C0535"/>
    <w:rsid w:val="001C0E89"/>
    <w:rsid w:val="001C1706"/>
    <w:rsid w:val="001C1851"/>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91"/>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7ED"/>
    <w:rsid w:val="00202F44"/>
    <w:rsid w:val="00203389"/>
    <w:rsid w:val="002035FF"/>
    <w:rsid w:val="0020376D"/>
    <w:rsid w:val="0020396D"/>
    <w:rsid w:val="0020495F"/>
    <w:rsid w:val="002057D1"/>
    <w:rsid w:val="00205A82"/>
    <w:rsid w:val="00206216"/>
    <w:rsid w:val="002062D4"/>
    <w:rsid w:val="002065CF"/>
    <w:rsid w:val="00206B8D"/>
    <w:rsid w:val="00206C5C"/>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71"/>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3AEC"/>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11E"/>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3F86"/>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0C2"/>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055"/>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287"/>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23F0"/>
    <w:rsid w:val="00323216"/>
    <w:rsid w:val="00323BF8"/>
    <w:rsid w:val="003248D7"/>
    <w:rsid w:val="00325A32"/>
    <w:rsid w:val="00326592"/>
    <w:rsid w:val="00326D5F"/>
    <w:rsid w:val="003274AC"/>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4B4B"/>
    <w:rsid w:val="0035531E"/>
    <w:rsid w:val="003560D1"/>
    <w:rsid w:val="00356B36"/>
    <w:rsid w:val="003573F2"/>
    <w:rsid w:val="003574D4"/>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5972"/>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18C"/>
    <w:rsid w:val="003903ED"/>
    <w:rsid w:val="003906D3"/>
    <w:rsid w:val="00391441"/>
    <w:rsid w:val="00391B2F"/>
    <w:rsid w:val="00391E09"/>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542E"/>
    <w:rsid w:val="003A64DF"/>
    <w:rsid w:val="003A6AEA"/>
    <w:rsid w:val="003A6B31"/>
    <w:rsid w:val="003A7592"/>
    <w:rsid w:val="003A7DD5"/>
    <w:rsid w:val="003B01ED"/>
    <w:rsid w:val="003B1001"/>
    <w:rsid w:val="003B19C6"/>
    <w:rsid w:val="003B2678"/>
    <w:rsid w:val="003B2C01"/>
    <w:rsid w:val="003B328F"/>
    <w:rsid w:val="003B32E4"/>
    <w:rsid w:val="003B3334"/>
    <w:rsid w:val="003B34D7"/>
    <w:rsid w:val="003B3751"/>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D2E"/>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4EE"/>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8DF"/>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BA8"/>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B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A62"/>
    <w:rsid w:val="00476D19"/>
    <w:rsid w:val="0047792D"/>
    <w:rsid w:val="00477B51"/>
    <w:rsid w:val="00477C4A"/>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3E7D"/>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56B"/>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5E1B"/>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5EBF"/>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5F"/>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142"/>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373"/>
    <w:rsid w:val="00637721"/>
    <w:rsid w:val="00637971"/>
    <w:rsid w:val="0063799C"/>
    <w:rsid w:val="00637D7A"/>
    <w:rsid w:val="006404CC"/>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767"/>
    <w:rsid w:val="00651A7C"/>
    <w:rsid w:val="0065211E"/>
    <w:rsid w:val="0065218A"/>
    <w:rsid w:val="00652480"/>
    <w:rsid w:val="00652AA5"/>
    <w:rsid w:val="00652D3B"/>
    <w:rsid w:val="00652D8C"/>
    <w:rsid w:val="00652E8B"/>
    <w:rsid w:val="00653BB0"/>
    <w:rsid w:val="0065470D"/>
    <w:rsid w:val="00654D03"/>
    <w:rsid w:val="00655371"/>
    <w:rsid w:val="0065622D"/>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982"/>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5EB"/>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CA3"/>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2CE3"/>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0795A"/>
    <w:rsid w:val="007102AB"/>
    <w:rsid w:val="00710540"/>
    <w:rsid w:val="007105AE"/>
    <w:rsid w:val="00710ECC"/>
    <w:rsid w:val="00710FC7"/>
    <w:rsid w:val="007113AF"/>
    <w:rsid w:val="00712626"/>
    <w:rsid w:val="00712C80"/>
    <w:rsid w:val="00712E03"/>
    <w:rsid w:val="0071352A"/>
    <w:rsid w:val="0071357F"/>
    <w:rsid w:val="00713A0F"/>
    <w:rsid w:val="007140DA"/>
    <w:rsid w:val="007141A0"/>
    <w:rsid w:val="00714F68"/>
    <w:rsid w:val="00716A89"/>
    <w:rsid w:val="00717B82"/>
    <w:rsid w:val="007204D2"/>
    <w:rsid w:val="00720AB9"/>
    <w:rsid w:val="0072116D"/>
    <w:rsid w:val="0072192F"/>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4E19"/>
    <w:rsid w:val="007458D8"/>
    <w:rsid w:val="007464AA"/>
    <w:rsid w:val="007465C3"/>
    <w:rsid w:val="00746FDC"/>
    <w:rsid w:val="00747298"/>
    <w:rsid w:val="0074732E"/>
    <w:rsid w:val="00747BF7"/>
    <w:rsid w:val="00747E76"/>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3CC3"/>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53"/>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04D"/>
    <w:rsid w:val="00851130"/>
    <w:rsid w:val="0085130E"/>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70B"/>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B763D"/>
    <w:rsid w:val="008C2112"/>
    <w:rsid w:val="008C2904"/>
    <w:rsid w:val="008C3173"/>
    <w:rsid w:val="008C3A68"/>
    <w:rsid w:val="008C4B83"/>
    <w:rsid w:val="008C50E6"/>
    <w:rsid w:val="008C5C61"/>
    <w:rsid w:val="008C6CCE"/>
    <w:rsid w:val="008C6D5F"/>
    <w:rsid w:val="008C7123"/>
    <w:rsid w:val="008C7567"/>
    <w:rsid w:val="008C7A4E"/>
    <w:rsid w:val="008D013B"/>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9CC"/>
    <w:rsid w:val="008D7FFB"/>
    <w:rsid w:val="008E00D2"/>
    <w:rsid w:val="008E02E0"/>
    <w:rsid w:val="008E0AB5"/>
    <w:rsid w:val="008E1A58"/>
    <w:rsid w:val="008E2EF9"/>
    <w:rsid w:val="008E3107"/>
    <w:rsid w:val="008E4379"/>
    <w:rsid w:val="008E4772"/>
    <w:rsid w:val="008E486D"/>
    <w:rsid w:val="008E64CC"/>
    <w:rsid w:val="008E6914"/>
    <w:rsid w:val="008E72E5"/>
    <w:rsid w:val="008E7572"/>
    <w:rsid w:val="008F0092"/>
    <w:rsid w:val="008F03B1"/>
    <w:rsid w:val="008F0C80"/>
    <w:rsid w:val="008F28EC"/>
    <w:rsid w:val="008F29FC"/>
    <w:rsid w:val="008F2C20"/>
    <w:rsid w:val="008F2E1A"/>
    <w:rsid w:val="008F3151"/>
    <w:rsid w:val="008F34DD"/>
    <w:rsid w:val="008F364A"/>
    <w:rsid w:val="008F3B71"/>
    <w:rsid w:val="008F3FA0"/>
    <w:rsid w:val="008F43E7"/>
    <w:rsid w:val="008F46A4"/>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16785"/>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686"/>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9C"/>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5287"/>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8E8"/>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458"/>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7"/>
    <w:rsid w:val="00990154"/>
    <w:rsid w:val="00990417"/>
    <w:rsid w:val="00990C04"/>
    <w:rsid w:val="00990DEE"/>
    <w:rsid w:val="00991775"/>
    <w:rsid w:val="009922A8"/>
    <w:rsid w:val="00992929"/>
    <w:rsid w:val="00992F40"/>
    <w:rsid w:val="00993347"/>
    <w:rsid w:val="00993573"/>
    <w:rsid w:val="009939A8"/>
    <w:rsid w:val="0099488A"/>
    <w:rsid w:val="00994A2F"/>
    <w:rsid w:val="00994B86"/>
    <w:rsid w:val="0099588B"/>
    <w:rsid w:val="00995B37"/>
    <w:rsid w:val="00995B3E"/>
    <w:rsid w:val="00995F6E"/>
    <w:rsid w:val="00996207"/>
    <w:rsid w:val="00996C43"/>
    <w:rsid w:val="00996E9C"/>
    <w:rsid w:val="009A1ED0"/>
    <w:rsid w:val="009A2B27"/>
    <w:rsid w:val="009A2D5F"/>
    <w:rsid w:val="009A2FB8"/>
    <w:rsid w:val="009A340E"/>
    <w:rsid w:val="009A37B3"/>
    <w:rsid w:val="009A3B6E"/>
    <w:rsid w:val="009A3B8A"/>
    <w:rsid w:val="009A40F9"/>
    <w:rsid w:val="009A413C"/>
    <w:rsid w:val="009A42BD"/>
    <w:rsid w:val="009A45DA"/>
    <w:rsid w:val="009A6082"/>
    <w:rsid w:val="009A6C8B"/>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63DD"/>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947"/>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0AEB"/>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1991"/>
    <w:rsid w:val="00A12004"/>
    <w:rsid w:val="00A121E0"/>
    <w:rsid w:val="00A125CD"/>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669E"/>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5D30"/>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9AA"/>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3D50"/>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AD7"/>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64C6"/>
    <w:rsid w:val="00AA7522"/>
    <w:rsid w:val="00AB004E"/>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2AB"/>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4D29"/>
    <w:rsid w:val="00AD50F7"/>
    <w:rsid w:val="00AD5DE4"/>
    <w:rsid w:val="00AD6B71"/>
    <w:rsid w:val="00AD6CE6"/>
    <w:rsid w:val="00AD7010"/>
    <w:rsid w:val="00AD7261"/>
    <w:rsid w:val="00AD743E"/>
    <w:rsid w:val="00AD7593"/>
    <w:rsid w:val="00AD77CB"/>
    <w:rsid w:val="00AD7CFD"/>
    <w:rsid w:val="00AE06E6"/>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2C7"/>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FFC"/>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74F"/>
    <w:rsid w:val="00B828FF"/>
    <w:rsid w:val="00B829D8"/>
    <w:rsid w:val="00B8384C"/>
    <w:rsid w:val="00B83FA3"/>
    <w:rsid w:val="00B8417E"/>
    <w:rsid w:val="00B843B9"/>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4F90"/>
    <w:rsid w:val="00BE55C7"/>
    <w:rsid w:val="00BE5D5C"/>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247"/>
    <w:rsid w:val="00BF4EAA"/>
    <w:rsid w:val="00BF5CF0"/>
    <w:rsid w:val="00BF6510"/>
    <w:rsid w:val="00BF703E"/>
    <w:rsid w:val="00BF70B5"/>
    <w:rsid w:val="00BF7671"/>
    <w:rsid w:val="00BF7680"/>
    <w:rsid w:val="00C00995"/>
    <w:rsid w:val="00C00D9A"/>
    <w:rsid w:val="00C0256A"/>
    <w:rsid w:val="00C033D1"/>
    <w:rsid w:val="00C03FC9"/>
    <w:rsid w:val="00C0425E"/>
    <w:rsid w:val="00C048CC"/>
    <w:rsid w:val="00C049CC"/>
    <w:rsid w:val="00C04EBA"/>
    <w:rsid w:val="00C0555A"/>
    <w:rsid w:val="00C05BE7"/>
    <w:rsid w:val="00C062BF"/>
    <w:rsid w:val="00C07098"/>
    <w:rsid w:val="00C0733A"/>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6B61"/>
    <w:rsid w:val="00C17167"/>
    <w:rsid w:val="00C17B74"/>
    <w:rsid w:val="00C17CC2"/>
    <w:rsid w:val="00C17D34"/>
    <w:rsid w:val="00C200CD"/>
    <w:rsid w:val="00C21285"/>
    <w:rsid w:val="00C21C0D"/>
    <w:rsid w:val="00C22061"/>
    <w:rsid w:val="00C22226"/>
    <w:rsid w:val="00C22A17"/>
    <w:rsid w:val="00C22AFB"/>
    <w:rsid w:val="00C23825"/>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9C2"/>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796"/>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40B1"/>
    <w:rsid w:val="00CD452E"/>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2DD1"/>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A56"/>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0D3"/>
    <w:rsid w:val="00D55757"/>
    <w:rsid w:val="00D5603E"/>
    <w:rsid w:val="00D561FC"/>
    <w:rsid w:val="00D56DA7"/>
    <w:rsid w:val="00D575BD"/>
    <w:rsid w:val="00D6077D"/>
    <w:rsid w:val="00D60B2D"/>
    <w:rsid w:val="00D60C12"/>
    <w:rsid w:val="00D60E7F"/>
    <w:rsid w:val="00D6161F"/>
    <w:rsid w:val="00D61C10"/>
    <w:rsid w:val="00D61D59"/>
    <w:rsid w:val="00D62002"/>
    <w:rsid w:val="00D621A0"/>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2F1"/>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4AD"/>
    <w:rsid w:val="00D80957"/>
    <w:rsid w:val="00D81035"/>
    <w:rsid w:val="00D8129E"/>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1BC"/>
    <w:rsid w:val="00D9433A"/>
    <w:rsid w:val="00D94D31"/>
    <w:rsid w:val="00D95070"/>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2537"/>
    <w:rsid w:val="00DE31E4"/>
    <w:rsid w:val="00DE33A3"/>
    <w:rsid w:val="00DE40E6"/>
    <w:rsid w:val="00DE418D"/>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5A9"/>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901"/>
    <w:rsid w:val="00E10DE3"/>
    <w:rsid w:val="00E11636"/>
    <w:rsid w:val="00E11F88"/>
    <w:rsid w:val="00E122B7"/>
    <w:rsid w:val="00E122C8"/>
    <w:rsid w:val="00E12D2E"/>
    <w:rsid w:val="00E1319E"/>
    <w:rsid w:val="00E13857"/>
    <w:rsid w:val="00E1392B"/>
    <w:rsid w:val="00E13BD4"/>
    <w:rsid w:val="00E13F67"/>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690"/>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865"/>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267"/>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4667"/>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98C"/>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65BB"/>
    <w:rsid w:val="00F97307"/>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003"/>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702"/>
    <w:rsid w:val="00FC29D3"/>
    <w:rsid w:val="00FC2A73"/>
    <w:rsid w:val="00FC386C"/>
    <w:rsid w:val="00FC3BA5"/>
    <w:rsid w:val="00FC3C01"/>
    <w:rsid w:val="00FC3D31"/>
    <w:rsid w:val="00FC4584"/>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2E8"/>
    <w:rsid w:val="00FD2523"/>
    <w:rsid w:val="00FD2CE7"/>
    <w:rsid w:val="00FD2D06"/>
    <w:rsid w:val="00FD32A7"/>
    <w:rsid w:val="00FD34FC"/>
    <w:rsid w:val="00FD35F2"/>
    <w:rsid w:val="00FD36A6"/>
    <w:rsid w:val="00FD3DC2"/>
    <w:rsid w:val="00FD4387"/>
    <w:rsid w:val="00FD4B38"/>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2746548">
      <w:bodyDiv w:val="1"/>
      <w:marLeft w:val="0"/>
      <w:marRight w:val="0"/>
      <w:marTop w:val="0"/>
      <w:marBottom w:val="0"/>
      <w:divBdr>
        <w:top w:val="none" w:sz="0" w:space="0" w:color="auto"/>
        <w:left w:val="none" w:sz="0" w:space="0" w:color="auto"/>
        <w:bottom w:val="none" w:sz="0" w:space="0" w:color="auto"/>
        <w:right w:val="none" w:sz="0" w:space="0" w:color="auto"/>
      </w:divBdr>
      <w:divsChild>
        <w:div w:id="1075517312">
          <w:marLeft w:val="547"/>
          <w:marRight w:val="0"/>
          <w:marTop w:val="91"/>
          <w:marBottom w:val="0"/>
          <w:divBdr>
            <w:top w:val="none" w:sz="0" w:space="0" w:color="auto"/>
            <w:left w:val="none" w:sz="0" w:space="0" w:color="auto"/>
            <w:bottom w:val="none" w:sz="0" w:space="0" w:color="auto"/>
            <w:right w:val="none" w:sz="0" w:space="0" w:color="auto"/>
          </w:divBdr>
        </w:div>
        <w:div w:id="1233781738">
          <w:marLeft w:val="1166"/>
          <w:marRight w:val="0"/>
          <w:marTop w:val="72"/>
          <w:marBottom w:val="0"/>
          <w:divBdr>
            <w:top w:val="none" w:sz="0" w:space="0" w:color="auto"/>
            <w:left w:val="none" w:sz="0" w:space="0" w:color="auto"/>
            <w:bottom w:val="none" w:sz="0" w:space="0" w:color="auto"/>
            <w:right w:val="none" w:sz="0" w:space="0" w:color="auto"/>
          </w:divBdr>
        </w:div>
        <w:div w:id="384531811">
          <w:marLeft w:val="1800"/>
          <w:marRight w:val="0"/>
          <w:marTop w:val="72"/>
          <w:marBottom w:val="0"/>
          <w:divBdr>
            <w:top w:val="none" w:sz="0" w:space="0" w:color="auto"/>
            <w:left w:val="none" w:sz="0" w:space="0" w:color="auto"/>
            <w:bottom w:val="none" w:sz="0" w:space="0" w:color="auto"/>
            <w:right w:val="none" w:sz="0" w:space="0" w:color="auto"/>
          </w:divBdr>
        </w:div>
        <w:div w:id="1258755454">
          <w:marLeft w:val="2520"/>
          <w:marRight w:val="0"/>
          <w:marTop w:val="72"/>
          <w:marBottom w:val="0"/>
          <w:divBdr>
            <w:top w:val="none" w:sz="0" w:space="0" w:color="auto"/>
            <w:left w:val="none" w:sz="0" w:space="0" w:color="auto"/>
            <w:bottom w:val="none" w:sz="0" w:space="0" w:color="auto"/>
            <w:right w:val="none" w:sz="0" w:space="0" w:color="auto"/>
          </w:divBdr>
        </w:div>
        <w:div w:id="2013871256">
          <w:marLeft w:val="2520"/>
          <w:marRight w:val="0"/>
          <w:marTop w:val="72"/>
          <w:marBottom w:val="0"/>
          <w:divBdr>
            <w:top w:val="none" w:sz="0" w:space="0" w:color="auto"/>
            <w:left w:val="none" w:sz="0" w:space="0" w:color="auto"/>
            <w:bottom w:val="none" w:sz="0" w:space="0" w:color="auto"/>
            <w:right w:val="none" w:sz="0" w:space="0" w:color="auto"/>
          </w:divBdr>
        </w:div>
        <w:div w:id="148638073">
          <w:marLeft w:val="1800"/>
          <w:marRight w:val="0"/>
          <w:marTop w:val="72"/>
          <w:marBottom w:val="0"/>
          <w:divBdr>
            <w:top w:val="none" w:sz="0" w:space="0" w:color="auto"/>
            <w:left w:val="none" w:sz="0" w:space="0" w:color="auto"/>
            <w:bottom w:val="none" w:sz="0" w:space="0" w:color="auto"/>
            <w:right w:val="none" w:sz="0" w:space="0" w:color="auto"/>
          </w:divBdr>
        </w:div>
        <w:div w:id="1128469248">
          <w:marLeft w:val="1166"/>
          <w:marRight w:val="0"/>
          <w:marTop w:val="91"/>
          <w:marBottom w:val="0"/>
          <w:divBdr>
            <w:top w:val="none" w:sz="0" w:space="0" w:color="auto"/>
            <w:left w:val="none" w:sz="0" w:space="0" w:color="auto"/>
            <w:bottom w:val="none" w:sz="0" w:space="0" w:color="auto"/>
            <w:right w:val="none" w:sz="0" w:space="0" w:color="auto"/>
          </w:divBdr>
        </w:div>
        <w:div w:id="1144859224">
          <w:marLeft w:val="1800"/>
          <w:marRight w:val="0"/>
          <w:marTop w:val="82"/>
          <w:marBottom w:val="0"/>
          <w:divBdr>
            <w:top w:val="none" w:sz="0" w:space="0" w:color="auto"/>
            <w:left w:val="none" w:sz="0" w:space="0" w:color="auto"/>
            <w:bottom w:val="none" w:sz="0" w:space="0" w:color="auto"/>
            <w:right w:val="none" w:sz="0" w:space="0" w:color="auto"/>
          </w:divBdr>
        </w:div>
        <w:div w:id="88239240">
          <w:marLeft w:val="1800"/>
          <w:marRight w:val="0"/>
          <w:marTop w:val="82"/>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41326777">
      <w:bodyDiv w:val="1"/>
      <w:marLeft w:val="0"/>
      <w:marRight w:val="0"/>
      <w:marTop w:val="0"/>
      <w:marBottom w:val="0"/>
      <w:divBdr>
        <w:top w:val="none" w:sz="0" w:space="0" w:color="auto"/>
        <w:left w:val="none" w:sz="0" w:space="0" w:color="auto"/>
        <w:bottom w:val="none" w:sz="0" w:space="0" w:color="auto"/>
        <w:right w:val="none" w:sz="0" w:space="0" w:color="auto"/>
      </w:divBdr>
      <w:divsChild>
        <w:div w:id="662011808">
          <w:marLeft w:val="1800"/>
          <w:marRight w:val="0"/>
          <w:marTop w:val="62"/>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69645229">
      <w:bodyDiv w:val="1"/>
      <w:marLeft w:val="0"/>
      <w:marRight w:val="0"/>
      <w:marTop w:val="0"/>
      <w:marBottom w:val="0"/>
      <w:divBdr>
        <w:top w:val="none" w:sz="0" w:space="0" w:color="auto"/>
        <w:left w:val="none" w:sz="0" w:space="0" w:color="auto"/>
        <w:bottom w:val="none" w:sz="0" w:space="0" w:color="auto"/>
        <w:right w:val="none" w:sz="0" w:space="0" w:color="auto"/>
      </w:divBdr>
      <w:divsChild>
        <w:div w:id="799421134">
          <w:marLeft w:val="2520"/>
          <w:marRight w:val="0"/>
          <w:marTop w:val="43"/>
          <w:marBottom w:val="0"/>
          <w:divBdr>
            <w:top w:val="none" w:sz="0" w:space="0" w:color="auto"/>
            <w:left w:val="none" w:sz="0" w:space="0" w:color="auto"/>
            <w:bottom w:val="none" w:sz="0" w:space="0" w:color="auto"/>
            <w:right w:val="none" w:sz="0" w:space="0" w:color="auto"/>
          </w:divBdr>
        </w:div>
        <w:div w:id="1367675598">
          <w:marLeft w:val="3240"/>
          <w:marRight w:val="0"/>
          <w:marTop w:val="43"/>
          <w:marBottom w:val="0"/>
          <w:divBdr>
            <w:top w:val="none" w:sz="0" w:space="0" w:color="auto"/>
            <w:left w:val="none" w:sz="0" w:space="0" w:color="auto"/>
            <w:bottom w:val="none" w:sz="0" w:space="0" w:color="auto"/>
            <w:right w:val="none" w:sz="0" w:space="0" w:color="auto"/>
          </w:divBdr>
        </w:div>
        <w:div w:id="1584604448">
          <w:marLeft w:val="3240"/>
          <w:marRight w:val="0"/>
          <w:marTop w:val="43"/>
          <w:marBottom w:val="0"/>
          <w:divBdr>
            <w:top w:val="none" w:sz="0" w:space="0" w:color="auto"/>
            <w:left w:val="none" w:sz="0" w:space="0" w:color="auto"/>
            <w:bottom w:val="none" w:sz="0" w:space="0" w:color="auto"/>
            <w:right w:val="none" w:sz="0" w:space="0" w:color="auto"/>
          </w:divBdr>
        </w:div>
        <w:div w:id="460808050">
          <w:marLeft w:val="3240"/>
          <w:marRight w:val="0"/>
          <w:marTop w:val="43"/>
          <w:marBottom w:val="0"/>
          <w:divBdr>
            <w:top w:val="none" w:sz="0" w:space="0" w:color="auto"/>
            <w:left w:val="none" w:sz="0" w:space="0" w:color="auto"/>
            <w:bottom w:val="none" w:sz="0" w:space="0" w:color="auto"/>
            <w:right w:val="none" w:sz="0" w:space="0" w:color="auto"/>
          </w:divBdr>
        </w:div>
        <w:div w:id="1408267254">
          <w:marLeft w:val="3240"/>
          <w:marRight w:val="0"/>
          <w:marTop w:val="43"/>
          <w:marBottom w:val="0"/>
          <w:divBdr>
            <w:top w:val="none" w:sz="0" w:space="0" w:color="auto"/>
            <w:left w:val="none" w:sz="0" w:space="0" w:color="auto"/>
            <w:bottom w:val="none" w:sz="0" w:space="0" w:color="auto"/>
            <w:right w:val="none" w:sz="0" w:space="0" w:color="auto"/>
          </w:divBdr>
        </w:div>
        <w:div w:id="176627657">
          <w:marLeft w:val="2520"/>
          <w:marRight w:val="0"/>
          <w:marTop w:val="43"/>
          <w:marBottom w:val="0"/>
          <w:divBdr>
            <w:top w:val="none" w:sz="0" w:space="0" w:color="auto"/>
            <w:left w:val="none" w:sz="0" w:space="0" w:color="auto"/>
            <w:bottom w:val="none" w:sz="0" w:space="0" w:color="auto"/>
            <w:right w:val="none" w:sz="0" w:space="0" w:color="auto"/>
          </w:divBdr>
        </w:div>
        <w:div w:id="133833035">
          <w:marLeft w:val="3240"/>
          <w:marRight w:val="0"/>
          <w:marTop w:val="43"/>
          <w:marBottom w:val="0"/>
          <w:divBdr>
            <w:top w:val="none" w:sz="0" w:space="0" w:color="auto"/>
            <w:left w:val="none" w:sz="0" w:space="0" w:color="auto"/>
            <w:bottom w:val="none" w:sz="0" w:space="0" w:color="auto"/>
            <w:right w:val="none" w:sz="0" w:space="0" w:color="auto"/>
          </w:divBdr>
        </w:div>
        <w:div w:id="111214739">
          <w:marLeft w:val="3240"/>
          <w:marRight w:val="0"/>
          <w:marTop w:val="43"/>
          <w:marBottom w:val="0"/>
          <w:divBdr>
            <w:top w:val="none" w:sz="0" w:space="0" w:color="auto"/>
            <w:left w:val="none" w:sz="0" w:space="0" w:color="auto"/>
            <w:bottom w:val="none" w:sz="0" w:space="0" w:color="auto"/>
            <w:right w:val="none" w:sz="0" w:space="0" w:color="auto"/>
          </w:divBdr>
        </w:div>
        <w:div w:id="2075083514">
          <w:marLeft w:val="3240"/>
          <w:marRight w:val="0"/>
          <w:marTop w:val="43"/>
          <w:marBottom w:val="0"/>
          <w:divBdr>
            <w:top w:val="none" w:sz="0" w:space="0" w:color="auto"/>
            <w:left w:val="none" w:sz="0" w:space="0" w:color="auto"/>
            <w:bottom w:val="none" w:sz="0" w:space="0" w:color="auto"/>
            <w:right w:val="none" w:sz="0" w:space="0" w:color="auto"/>
          </w:divBdr>
        </w:div>
        <w:div w:id="2131892377">
          <w:marLeft w:val="3240"/>
          <w:marRight w:val="0"/>
          <w:marTop w:val="43"/>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40060303">
      <w:bodyDiv w:val="1"/>
      <w:marLeft w:val="0"/>
      <w:marRight w:val="0"/>
      <w:marTop w:val="0"/>
      <w:marBottom w:val="0"/>
      <w:divBdr>
        <w:top w:val="none" w:sz="0" w:space="0" w:color="auto"/>
        <w:left w:val="none" w:sz="0" w:space="0" w:color="auto"/>
        <w:bottom w:val="none" w:sz="0" w:space="0" w:color="auto"/>
        <w:right w:val="none" w:sz="0" w:space="0" w:color="auto"/>
      </w:divBdr>
      <w:divsChild>
        <w:div w:id="1913343369">
          <w:marLeft w:val="1800"/>
          <w:marRight w:val="0"/>
          <w:marTop w:val="72"/>
          <w:marBottom w:val="0"/>
          <w:divBdr>
            <w:top w:val="none" w:sz="0" w:space="0" w:color="auto"/>
            <w:left w:val="none" w:sz="0" w:space="0" w:color="auto"/>
            <w:bottom w:val="none" w:sz="0" w:space="0" w:color="auto"/>
            <w:right w:val="none" w:sz="0" w:space="0" w:color="auto"/>
          </w:divBdr>
        </w:div>
        <w:div w:id="59249973">
          <w:marLeft w:val="2520"/>
          <w:marRight w:val="0"/>
          <w:marTop w:val="72"/>
          <w:marBottom w:val="0"/>
          <w:divBdr>
            <w:top w:val="none" w:sz="0" w:space="0" w:color="auto"/>
            <w:left w:val="none" w:sz="0" w:space="0" w:color="auto"/>
            <w:bottom w:val="none" w:sz="0" w:space="0" w:color="auto"/>
            <w:right w:val="none" w:sz="0" w:space="0" w:color="auto"/>
          </w:divBdr>
        </w:div>
        <w:div w:id="1345473372">
          <w:marLeft w:val="2520"/>
          <w:marRight w:val="0"/>
          <w:marTop w:val="72"/>
          <w:marBottom w:val="0"/>
          <w:divBdr>
            <w:top w:val="none" w:sz="0" w:space="0" w:color="auto"/>
            <w:left w:val="none" w:sz="0" w:space="0" w:color="auto"/>
            <w:bottom w:val="none" w:sz="0" w:space="0" w:color="auto"/>
            <w:right w:val="none" w:sz="0" w:space="0" w:color="auto"/>
          </w:divBdr>
        </w:div>
        <w:div w:id="1788114144">
          <w:marLeft w:val="1800"/>
          <w:marRight w:val="0"/>
          <w:marTop w:val="72"/>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3706712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83">
          <w:marLeft w:val="360"/>
          <w:marRight w:val="0"/>
          <w:marTop w:val="200"/>
          <w:marBottom w:val="0"/>
          <w:divBdr>
            <w:top w:val="none" w:sz="0" w:space="0" w:color="auto"/>
            <w:left w:val="none" w:sz="0" w:space="0" w:color="auto"/>
            <w:bottom w:val="none" w:sz="0" w:space="0" w:color="auto"/>
            <w:right w:val="none" w:sz="0" w:space="0" w:color="auto"/>
          </w:divBdr>
        </w:div>
        <w:div w:id="874998387">
          <w:marLeft w:val="1080"/>
          <w:marRight w:val="0"/>
          <w:marTop w:val="100"/>
          <w:marBottom w:val="0"/>
          <w:divBdr>
            <w:top w:val="none" w:sz="0" w:space="0" w:color="auto"/>
            <w:left w:val="none" w:sz="0" w:space="0" w:color="auto"/>
            <w:bottom w:val="none" w:sz="0" w:space="0" w:color="auto"/>
            <w:right w:val="none" w:sz="0" w:space="0" w:color="auto"/>
          </w:divBdr>
        </w:div>
        <w:div w:id="574124796">
          <w:marLeft w:val="1080"/>
          <w:marRight w:val="0"/>
          <w:marTop w:val="100"/>
          <w:marBottom w:val="0"/>
          <w:divBdr>
            <w:top w:val="none" w:sz="0" w:space="0" w:color="auto"/>
            <w:left w:val="none" w:sz="0" w:space="0" w:color="auto"/>
            <w:bottom w:val="none" w:sz="0" w:space="0" w:color="auto"/>
            <w:right w:val="none" w:sz="0" w:space="0" w:color="auto"/>
          </w:divBdr>
        </w:div>
        <w:div w:id="1264998661">
          <w:marLeft w:val="360"/>
          <w:marRight w:val="0"/>
          <w:marTop w:val="200"/>
          <w:marBottom w:val="0"/>
          <w:divBdr>
            <w:top w:val="none" w:sz="0" w:space="0" w:color="auto"/>
            <w:left w:val="none" w:sz="0" w:space="0" w:color="auto"/>
            <w:bottom w:val="none" w:sz="0" w:space="0" w:color="auto"/>
            <w:right w:val="none" w:sz="0" w:space="0" w:color="auto"/>
          </w:divBdr>
        </w:div>
        <w:div w:id="1632438262">
          <w:marLeft w:val="360"/>
          <w:marRight w:val="0"/>
          <w:marTop w:val="2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3505C-D8AD-4155-B637-92A3C6E1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2380</Words>
  <Characters>13569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2020-05-08T10:34:00Z</dcterms:created>
  <dcterms:modified xsi:type="dcterms:W3CDTF">2020-05-15T15:15:00Z</dcterms:modified>
</cp:coreProperties>
</file>